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8E1A6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shd w:val="clear" w:fill="FFFFFF"/>
          <w:lang w:val="en-US" w:eastAsia="zh-CN" w:bidi="ar"/>
        </w:rPr>
        <w:t>拉萨市中心城区生态治理工程（二期）</w:t>
      </w:r>
    </w:p>
    <w:p w14:paraId="71C166E5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highlight w:val="none"/>
          <w:shd w:val="clear" w:fill="FFFFFF"/>
          <w:lang w:val="en-US" w:eastAsia="zh-CN" w:bidi="ar"/>
        </w:rPr>
        <w:t>教育城片区丹青林卡公园代建单位</w:t>
      </w:r>
    </w:p>
    <w:p w14:paraId="1C7C98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360" w:lineRule="auto"/>
        <w:ind w:left="0" w:leftChars="0" w:firstLine="3355" w:firstLineChars="466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  <w:t>资格</w:t>
      </w:r>
    </w:p>
    <w:p w14:paraId="6075C1E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360" w:lineRule="auto"/>
        <w:ind w:left="0" w:leftChars="0" w:firstLine="3355" w:firstLineChars="466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  <w:t>审查</w:t>
      </w:r>
    </w:p>
    <w:p w14:paraId="166C9B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360" w:lineRule="auto"/>
        <w:ind w:left="0" w:leftChars="0" w:firstLine="3355" w:firstLineChars="466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  <w:t>与综</w:t>
      </w:r>
    </w:p>
    <w:p w14:paraId="44638D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360" w:lineRule="auto"/>
        <w:ind w:left="0" w:leftChars="0" w:firstLine="3355" w:firstLineChars="466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  <w:t>合评</w:t>
      </w:r>
    </w:p>
    <w:p w14:paraId="5B27096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360" w:lineRule="auto"/>
        <w:ind w:left="0" w:leftChars="0" w:firstLine="3355" w:firstLineChars="466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72"/>
          <w:szCs w:val="72"/>
          <w:highlight w:val="none"/>
          <w:lang w:val="en-US" w:eastAsia="zh-CN"/>
        </w:rPr>
        <w:t>分表</w:t>
      </w:r>
    </w:p>
    <w:p w14:paraId="03BF7EC9">
      <w:pPr>
        <w:pStyle w:val="3"/>
        <w:rPr>
          <w:rFonts w:hint="eastAsia"/>
          <w:color w:val="auto"/>
          <w:highlight w:val="none"/>
          <w:lang w:val="en-US" w:eastAsia="zh-CN"/>
        </w:rPr>
      </w:pPr>
    </w:p>
    <w:p w14:paraId="2CE01AC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</w:pPr>
    </w:p>
    <w:p w14:paraId="25C51381">
      <w:pPr>
        <w:pStyle w:val="4"/>
        <w:rPr>
          <w:rFonts w:hint="eastAsia"/>
          <w:color w:val="auto"/>
          <w:highlight w:val="none"/>
          <w:lang w:val="en-US" w:eastAsia="zh-CN"/>
        </w:rPr>
      </w:pPr>
    </w:p>
    <w:p w14:paraId="438BC700"/>
    <w:p w14:paraId="135B0D41">
      <w:pPr>
        <w:keepNext w:val="0"/>
        <w:keepLines w:val="0"/>
        <w:kinsoku/>
        <w:overflowPunct/>
        <w:topLinePunct w:val="0"/>
        <w:bidi w:val="0"/>
        <w:snapToGrid/>
        <w:spacing w:line="240" w:lineRule="auto"/>
        <w:ind w:firstLine="0" w:firstLineChars="0"/>
        <w:jc w:val="left"/>
        <w:textAlignment w:val="auto"/>
        <w:rPr>
          <w:rFonts w:hint="eastAsia" w:ascii="黑体" w:hAnsi="黑体" w:eastAsia="黑体"/>
          <w:color w:val="auto"/>
          <w:sz w:val="32"/>
          <w:szCs w:val="36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6"/>
          <w:highlight w:val="none"/>
        </w:rPr>
        <w:br w:type="page"/>
      </w:r>
    </w:p>
    <w:p w14:paraId="1EAB8FE0">
      <w:pPr>
        <w:keepNext w:val="0"/>
        <w:keepLines w:val="0"/>
        <w:kinsoku/>
        <w:overflowPunct/>
        <w:topLinePunct w:val="0"/>
        <w:bidi w:val="0"/>
        <w:snapToGrid/>
        <w:spacing w:line="576" w:lineRule="exact"/>
        <w:ind w:firstLine="0" w:firstLineChars="0"/>
        <w:jc w:val="center"/>
        <w:textAlignment w:val="auto"/>
        <w:rPr>
          <w:rFonts w:hint="eastAsia" w:ascii="黑体" w:hAnsi="黑体" w:eastAsia="黑体"/>
          <w:color w:val="auto"/>
          <w:sz w:val="32"/>
          <w:szCs w:val="36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6"/>
          <w:highlight w:val="none"/>
        </w:rPr>
        <w:t>资格审查表</w:t>
      </w:r>
    </w:p>
    <w:p w14:paraId="480D6FC6">
      <w:pPr>
        <w:pStyle w:val="4"/>
        <w:rPr>
          <w:rFonts w:hint="eastAsia"/>
          <w:color w:val="auto"/>
          <w:highlight w:val="none"/>
        </w:rPr>
      </w:pPr>
    </w:p>
    <w:tbl>
      <w:tblPr>
        <w:tblStyle w:val="8"/>
        <w:tblW w:w="497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057"/>
        <w:gridCol w:w="7435"/>
      </w:tblGrid>
      <w:tr w14:paraId="10AA6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0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AD1660">
            <w:pPr>
              <w:keepNext w:val="0"/>
              <w:keepLines w:val="0"/>
              <w:widowControl/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ind w:firstLine="482" w:firstLineChars="0"/>
              <w:jc w:val="center"/>
              <w:textAlignment w:val="auto"/>
              <w:rPr>
                <w:rFonts w:ascii="方正仿宋_GBK" w:hAnsi="Calibri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Calibri" w:eastAsia="方正仿宋_GBK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资格要求</w:t>
            </w:r>
          </w:p>
        </w:tc>
      </w:tr>
      <w:tr w14:paraId="25134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67645E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仿宋_GBK" w:hAnsi="Calibri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Calibri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4D0B22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仿宋_GBK" w:hAnsi="Calibri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Calibri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资格</w:t>
            </w:r>
          </w:p>
          <w:p w14:paraId="24F9EEBB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仿宋_GBK" w:hAnsi="Calibri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Calibri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审查</w:t>
            </w:r>
          </w:p>
        </w:tc>
        <w:tc>
          <w:tcPr>
            <w:tcW w:w="4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8121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1.具有独立承担民事责任的能力；</w:t>
            </w:r>
            <w:r>
              <w:rPr>
                <w:rFonts w:hint="eastAsia" w:ascii="仿宋" w:hAnsi="仿宋" w:eastAsia="仿宋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</w:rPr>
              <w:t>供应商需是法人、其他组织，需提供工商部门注册的有效的营业执照或事业单位单位法人证书等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</w:rPr>
              <w:t>复印件须加盖单位公章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）。</w:t>
            </w:r>
          </w:p>
          <w:p w14:paraId="15DBA65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2" w:firstLineChars="200"/>
              <w:textAlignment w:val="auto"/>
              <w:rPr>
                <w:rFonts w:hint="default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2.具有良好的商业信誉和健全的财务会计制度；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需提供2023年、2024年、2025年经审计的财务报告及附表复印件，新成立的企业，依据成立时间提供相应年度报表，如无，需提供书面说明）。</w:t>
            </w:r>
          </w:p>
          <w:p w14:paraId="2FF8D83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.具有依法缴纳税收和社会保障资金的良好记录；</w:t>
            </w:r>
            <w:r>
              <w:rPr>
                <w:rFonts w:hint="eastAsia" w:ascii="仿宋" w:hAnsi="仿宋" w:eastAsia="仿宋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</w:rPr>
              <w:t>提供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2025年1月1日至今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</w:rPr>
              <w:t>近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任意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</w:rPr>
              <w:t>三个月缴纳税收和社会保障资金凭证等相关资料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或提供承诺函；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</w:rPr>
              <w:t>若无须缴纳税金须出具相关证明材料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）。</w:t>
            </w:r>
          </w:p>
          <w:p w14:paraId="3C24887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.参加政府采购活动</w:t>
            </w: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近</w:t>
            </w: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三年内，在经营活动中没有重大违法记录；</w:t>
            </w:r>
            <w:r>
              <w:rPr>
                <w:rFonts w:hint="eastAsia" w:ascii="仿宋" w:hAnsi="仿宋" w:eastAsia="仿宋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</w:rPr>
              <w:t>提供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2023年、2024年、2025年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</w:rPr>
              <w:t>在经营活动中没有重大违法记录的书面声明并加盖公章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）。</w:t>
            </w:r>
          </w:p>
          <w:p w14:paraId="13DB08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.供应商之间单位负责人为同一人或存在直接控股、管理关系的，不得参与本项目的比选活动</w:t>
            </w: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仿宋" w:hAnsi="仿宋" w:eastAsia="仿宋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提供承诺函）。</w:t>
            </w:r>
          </w:p>
          <w:p w14:paraId="12067EA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2" w:firstLineChars="200"/>
              <w:textAlignment w:val="auto"/>
              <w:rPr>
                <w:rFonts w:hint="eastAsia" w:ascii="仿宋" w:hAnsi="仿宋" w:eastAsia="仿宋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6.本项目不接受联合体报名；</w:t>
            </w:r>
            <w:r>
              <w:rPr>
                <w:rFonts w:hint="eastAsia" w:ascii="仿宋" w:hAnsi="仿宋" w:eastAsia="仿宋" w:cs="Times New Roman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（供应商非联合体）。</w:t>
            </w:r>
          </w:p>
          <w:p w14:paraId="2FC7150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eastAsia" w:ascii="方正仿宋_GBK" w:hAnsi="Calibri" w:eastAsia="仿宋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7.</w:t>
            </w: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</w:rPr>
              <w:t>法律、行政法规规定的其他条件</w:t>
            </w: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</w:rPr>
              <w:t>对被“信用中国（www.creditchina.gov.cn）”网站列入“重大税收违法失信主体”和“中国政府采购网（www.ccgp.gov.cn）”列入“政府采购严重违法失信行为记录名单”及“中国执行信息公开网（http://zxgk.court.gov.cn/shixin/）”列入“失信被执行人”的供应商，不得参与本项目的采购活动。（供应商须提供相关的查询截图并加盖公章，查询时间为本公告发布之日至递交文件截止时间前的任意时间）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716CF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50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8D5287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  <w:t>资格性审查结论（通过或不通过）</w:t>
            </w:r>
          </w:p>
          <w:p w14:paraId="219F40EF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仿宋_GBK" w:hAnsi="Calibri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" w:hAnsi="仿宋" w:eastAsia="仿宋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注：任何一项不满足要求，审查不通过，不参与正式评审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  <w:t>）</w:t>
            </w:r>
          </w:p>
        </w:tc>
      </w:tr>
    </w:tbl>
    <w:p w14:paraId="50E76523">
      <w:pPr>
        <w:keepNext w:val="0"/>
        <w:keepLines w:val="0"/>
        <w:kinsoku/>
        <w:overflowPunct/>
        <w:topLinePunct w:val="0"/>
        <w:bidi w:val="0"/>
        <w:snapToGrid/>
        <w:spacing w:line="576" w:lineRule="exact"/>
        <w:ind w:firstLine="640"/>
        <w:textAlignment w:val="auto"/>
        <w:rPr>
          <w:rFonts w:ascii="仿宋_GB2312" w:eastAsia="仿宋_GB2312"/>
          <w:color w:val="auto"/>
          <w:sz w:val="32"/>
          <w:szCs w:val="36"/>
          <w:highlight w:val="none"/>
        </w:rPr>
      </w:pPr>
    </w:p>
    <w:p w14:paraId="26E9854A">
      <w:pPr>
        <w:rPr>
          <w:color w:val="auto"/>
          <w:highlight w:val="none"/>
        </w:rPr>
      </w:pPr>
    </w:p>
    <w:p w14:paraId="2CC14AD8">
      <w:pPr>
        <w:rPr>
          <w:color w:val="auto"/>
          <w:highlight w:val="none"/>
        </w:rPr>
      </w:pPr>
    </w:p>
    <w:p w14:paraId="02603DAE">
      <w:pPr>
        <w:keepNext w:val="0"/>
        <w:keepLines w:val="0"/>
        <w:pageBreakBefore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/>
        <w:spacing w:line="400" w:lineRule="exact"/>
        <w:ind w:left="0" w:firstLine="0" w:firstLineChars="0"/>
        <w:jc w:val="center"/>
        <w:textAlignment w:val="auto"/>
        <w:rPr>
          <w:rFonts w:hint="eastAsia" w:ascii="黑体" w:hAnsi="黑体" w:eastAsia="黑体" w:cs="Times New Roman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  <w:highlight w:val="none"/>
        </w:rPr>
        <w:t>综合评分表</w:t>
      </w:r>
    </w:p>
    <w:p w14:paraId="13C4F583">
      <w:pPr>
        <w:pStyle w:val="4"/>
        <w:keepNext w:val="0"/>
        <w:keepLines w:val="0"/>
        <w:pageBreakBefore w:val="0"/>
        <w:kinsoku/>
        <w:wordWrap/>
        <w:overflowPunct/>
        <w:topLinePunct w:val="0"/>
        <w:autoSpaceDN/>
        <w:bidi w:val="0"/>
        <w:snapToGrid/>
        <w:spacing w:line="360" w:lineRule="exact"/>
        <w:textAlignment w:val="auto"/>
        <w:rPr>
          <w:rFonts w:hint="eastAsia"/>
          <w:color w:val="auto"/>
          <w:sz w:val="24"/>
          <w:szCs w:val="24"/>
          <w:highlight w:val="none"/>
        </w:rPr>
      </w:pPr>
    </w:p>
    <w:tbl>
      <w:tblPr>
        <w:tblStyle w:val="8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4"/>
        <w:gridCol w:w="1042"/>
        <w:gridCol w:w="503"/>
        <w:gridCol w:w="5595"/>
        <w:gridCol w:w="1255"/>
      </w:tblGrid>
      <w:tr w14:paraId="54CFF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27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6E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评分内容及分值</w:t>
            </w:r>
          </w:p>
        </w:tc>
        <w:tc>
          <w:tcPr>
            <w:tcW w:w="5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668D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评分标准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04E89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赋分</w:t>
            </w:r>
          </w:p>
        </w:tc>
      </w:tr>
      <w:tr w14:paraId="732FE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atLeast"/>
          <w:jc w:val="center"/>
        </w:trPr>
        <w:tc>
          <w:tcPr>
            <w:tcW w:w="8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35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总  分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51CED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631B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88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24F49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价格（权重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%）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22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比选报价得分</w:t>
            </w:r>
          </w:p>
        </w:tc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4B58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5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FF22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76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（1）评审基准价计算公式：J=（B1+B2+…+ Bn）÷n（B1 B2……Bn为n个有效比选总价，当有效比选总价个数n≤5时，J为全部有效比选总价的算术平均值；当有效比选总价个数n＞5且n≤9时，J为去掉一个最高和一个最低比选总价后的算术平均值；当有效比选总价个数n＞9时，J为去掉二个最高和一个最低比选总价后的算术平均值；供应商的报价明显低于其他通过符合性审查供应商的报价，有可能影响产品质量或者不能诚信履约的，应当要求其在规定时间内提供书面说明及相关证明材料；供应商不能证明其报价合理性的，应当将其作为无效报价处理。）</w:t>
            </w:r>
          </w:p>
          <w:p w14:paraId="07C02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76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（2）偏差率计算公式：P=│Bn -J│÷J×100%</w:t>
            </w:r>
          </w:p>
          <w:p w14:paraId="24E51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76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（Bn：第n个有效比选总价，J：评审基准价）</w:t>
            </w:r>
          </w:p>
          <w:p w14:paraId="192A5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76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（3）价格比选得分计算公式：I=分值－P×K×100</w:t>
            </w:r>
          </w:p>
          <w:p w14:paraId="22328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76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（I：比选总价得分（I≥0），P：偏差率，K：扣分系数，根据实际情况选取，Bn大于J时，K取2；Bn小于J时，K取1；Bn等于J时，K取0。</w:t>
            </w:r>
          </w:p>
          <w:p w14:paraId="05A03ED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BF25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1BA447AA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napToGrid/>
        <w:spacing w:line="360" w:lineRule="exact"/>
        <w:ind w:left="0" w:leftChars="0" w:firstLine="0" w:firstLineChars="0"/>
        <w:textAlignment w:val="auto"/>
        <w:rPr>
          <w:color w:val="auto"/>
          <w:sz w:val="24"/>
          <w:szCs w:val="24"/>
          <w:highlight w:val="none"/>
        </w:rPr>
      </w:pPr>
    </w:p>
    <w:tbl>
      <w:tblPr>
        <w:tblStyle w:val="8"/>
        <w:tblW w:w="9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4"/>
        <w:gridCol w:w="1025"/>
        <w:gridCol w:w="432"/>
        <w:gridCol w:w="5668"/>
        <w:gridCol w:w="1230"/>
      </w:tblGrid>
      <w:tr w14:paraId="2B07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3" w:hRule="atLeast"/>
          <w:jc w:val="center"/>
        </w:trPr>
        <w:tc>
          <w:tcPr>
            <w:tcW w:w="1194" w:type="dxa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B956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服务</w:t>
            </w:r>
          </w:p>
          <w:p w14:paraId="39E4E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方案</w:t>
            </w:r>
          </w:p>
          <w:p w14:paraId="508E8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（权重50%）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61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服务内容和方法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9DF1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50分</w:t>
            </w:r>
          </w:p>
        </w:tc>
        <w:tc>
          <w:tcPr>
            <w:tcW w:w="5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21D39CA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针对本项目制定服务方案。方案包含需求分析、组织管理、质量和安全管理、进度管理、投资控制。需求分析好的得10分，较好得6分、一般得 4 分、缺少此项不得分；组织管理好的得10分，较好得6分、一般得 4 分、缺少此项不得分；质量和安全管理好的得10分，较好得6分、一般得 4 分、缺少此项不得分；进度管理好的得10分，较好得6分、一般得 4 分、缺少此项不得分；投资控制好的得10分，较好得6分、一般得 4 分、缺少此项不得分。注：</w:t>
            </w: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页数不超过80页，如超出该项不得分。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2EB93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76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D521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729" w:hRule="atLeast"/>
          <w:jc w:val="center"/>
        </w:trPr>
        <w:tc>
          <w:tcPr>
            <w:tcW w:w="11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01F6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商务部分（权重40%）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88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团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队成员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499AD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10分</w:t>
            </w:r>
          </w:p>
        </w:tc>
        <w:tc>
          <w:tcPr>
            <w:tcW w:w="5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487DA3B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项目负责人（1人）：具备工程领域一级注册建造师或注册监理工程师执业资格，同时具备工程领域中级或以上职称的，得2分；具有项目管理经验的（需提供代建或监理管理业绩），每提供1项业绩得1分，业绩加分最高2分。最高得4分。</w:t>
            </w:r>
          </w:p>
          <w:p w14:paraId="5E74C23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其他人员（不少于2人）：现场管理人员不少于2人，得2分；在此基础上，增加1名造价人员得2分，人员加分最高4分；现场管理人员每人每提供1项代建或监理项目管理业绩得1分，单人业绩累计加分最高1分。本项最高得6分。</w:t>
            </w:r>
          </w:p>
          <w:p w14:paraId="7644475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注：以上所有人员不重复配置，需提供有效的身份证、职称证、执业资格证书、社保、业绩等相关证明材料。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56D71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FE7E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0" w:hRule="atLeast"/>
          <w:jc w:val="center"/>
        </w:trPr>
        <w:tc>
          <w:tcPr>
            <w:tcW w:w="119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0D381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10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业绩得分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E27A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5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727270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提供2021年1月至今的工程建设领域代建工作业绩，1项得2分，最高得30分。</w:t>
            </w:r>
          </w:p>
          <w:p w14:paraId="5BF3E77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注：提供合同协议书复印件或中标通知书或成交通知书或委托函，并每页加盖单位公章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2EF2E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B275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954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F4B7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注：1.各项计算、评分结果均按四舍五入法精确到小数点后2位。</w:t>
            </w:r>
          </w:p>
        </w:tc>
      </w:tr>
    </w:tbl>
    <w:p w14:paraId="15611613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209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-250825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7C582">
                          <w:pPr>
                            <w:pStyle w:val="5"/>
                            <w:rPr>
                              <w:rFonts w:ascii="方正仿宋_GBK" w:hAnsi="方正仿宋_GBK" w:eastAsia="方正仿宋_GBK" w:cs="方正仿宋_GB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方正仿宋_GBK" w:hAnsi="方正仿宋_GBK" w:eastAsia="方正仿宋_GBK" w:cs="方正仿宋_GBK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9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EDIN4/VAAAACAEAAA8AAAAAAAAAAQAgAAAAIgAAAGRycy9k&#10;b3ducmV2LnhtbFBLAQIUABQAAAAIAIdO4kAXSZTlzAEAAKcDAAAOAAAAAAAAAAEAIAAAACQ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7C582">
                    <w:pPr>
                      <w:pStyle w:val="5"/>
                      <w:rPr>
                        <w:rFonts w:ascii="方正仿宋_GBK" w:hAnsi="方正仿宋_GBK" w:eastAsia="方正仿宋_GBK" w:cs="方正仿宋_GBK"/>
                        <w:sz w:val="32"/>
                        <w:szCs w:val="32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方正仿宋_GBK" w:hAnsi="方正仿宋_GBK" w:eastAsia="方正仿宋_GBK" w:cs="方正仿宋_GBK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96B8D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278EC"/>
    <w:rsid w:val="1EBFAEA7"/>
    <w:rsid w:val="1F1278EC"/>
    <w:rsid w:val="3BFEAB3A"/>
    <w:rsid w:val="543F273A"/>
    <w:rsid w:val="5AFF02F0"/>
    <w:rsid w:val="74B57EA4"/>
    <w:rsid w:val="79FF22DA"/>
    <w:rsid w:val="7B6F46F8"/>
    <w:rsid w:val="7EFACBBB"/>
    <w:rsid w:val="7FDFC275"/>
    <w:rsid w:val="9F9DFAE0"/>
    <w:rsid w:val="AB9F1621"/>
    <w:rsid w:val="B8FE7362"/>
    <w:rsid w:val="BE7D7869"/>
    <w:rsid w:val="D3FACD60"/>
    <w:rsid w:val="DB6DBEBC"/>
    <w:rsid w:val="DEFBC192"/>
    <w:rsid w:val="EEF76351"/>
    <w:rsid w:val="F7F7F1BB"/>
    <w:rsid w:val="F7FE0844"/>
    <w:rsid w:val="F9DF7344"/>
    <w:rsid w:val="FEF55EDC"/>
    <w:rsid w:val="FF3FF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left="360" w:firstLine="420" w:firstLineChars="150"/>
    </w:pPr>
    <w:rPr>
      <w:rFonts w:hint="eastAsia" w:ascii="仿宋_GB2312" w:eastAsia="仿宋_GB2312"/>
      <w:sz w:val="24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</w:style>
  <w:style w:type="table" w:styleId="9">
    <w:name w:val="Table Grid"/>
    <w:basedOn w:val="8"/>
    <w:qFormat/>
    <w:uiPriority w:val="0"/>
    <w:rPr>
      <w:rFonts w:eastAsia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liu二级标题 字符"/>
    <w:basedOn w:val="10"/>
    <w:link w:val="12"/>
    <w:qFormat/>
    <w:uiPriority w:val="0"/>
    <w:rPr>
      <w:rFonts w:ascii="宋体" w:hAnsi="宋体"/>
      <w:sz w:val="32"/>
      <w:szCs w:val="24"/>
    </w:rPr>
  </w:style>
  <w:style w:type="paragraph" w:customStyle="1" w:styleId="12">
    <w:name w:val="liu二级标题"/>
    <w:basedOn w:val="2"/>
    <w:link w:val="11"/>
    <w:qFormat/>
    <w:uiPriority w:val="0"/>
    <w:pPr>
      <w:jc w:val="center"/>
    </w:pPr>
    <w:rPr>
      <w:rFonts w:ascii="宋体" w:hAnsi="宋体"/>
      <w:sz w:val="32"/>
      <w:szCs w:val="24"/>
    </w:rPr>
  </w:style>
  <w:style w:type="paragraph" w:customStyle="1" w:styleId="13">
    <w:name w:val="liu正文"/>
    <w:basedOn w:val="1"/>
    <w:autoRedefine/>
    <w:qFormat/>
    <w:uiPriority w:val="0"/>
    <w:pPr>
      <w:spacing w:before="120" w:after="120" w:line="360" w:lineRule="auto"/>
      <w:ind w:firstLine="200" w:firstLineChars="200"/>
    </w:pPr>
    <w:rPr>
      <w:rFonts w:ascii="宋体" w:hAnsi="宋体"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2026-10-14T17:52:00Z</dcterms:created>
  <dc:creator>麦兜响当当</dc:creator>
  <cp:lastModifiedBy>将军</cp:lastModifiedBy>
  <dcterms:modified xsi:type="dcterms:W3CDTF">2026-10-14T10:24:30Z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56AE7BEB1C0E8AFE6FDDCE6A59C8EFB3_43</vt:lpwstr>
  </property>
  <property fmtid="{D5CDD505-2E9C-101B-9397-08002B2CF9AE}" pid="4" name="KSOTemplateDocerSaveRecord">
    <vt:lpwstr>eyJoZGlkIjoiNzQyYmRhZTU4OTI3ZmE1ZDg5MjJmYzE2YzY2NGZiMWMiLCJ1c2VySWQiOiIzNjkxMTgyMzIifQ==</vt:lpwstr>
  </property>
</Properties>
</file>