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9797F">
      <w:pPr>
        <w:pStyle w:val="7"/>
        <w:pageBreakBefore w:val="0"/>
        <w:kinsoku/>
        <w:overflowPunct/>
        <w:topLinePunct w:val="0"/>
        <w:bidi w:val="0"/>
        <w:spacing w:line="560" w:lineRule="exact"/>
        <w:ind w:left="0" w:leftChars="0" w:firstLine="0" w:firstLineChars="0"/>
        <w:jc w:val="both"/>
        <w:textAlignment w:val="auto"/>
        <w:rPr>
          <w:rFonts w:hint="eastAsia" w:ascii="方正黑体_GBK" w:hAnsi="方正黑体_GBK" w:eastAsia="方正黑体_GBK" w:cs="方正黑体_GBK"/>
          <w:b w:val="0"/>
          <w:bCs/>
          <w:caps w:val="0"/>
          <w:color w:val="auto"/>
          <w:kern w:val="0"/>
          <w:sz w:val="32"/>
          <w:szCs w:val="32"/>
          <w:highlight w:val="none"/>
          <w:lang w:val="en-US" w:eastAsia="zh-CN"/>
        </w:rPr>
      </w:pPr>
      <w:bookmarkStart w:id="0" w:name="_GoBack"/>
      <w:bookmarkEnd w:id="0"/>
      <w:r>
        <w:rPr>
          <w:rFonts w:hint="eastAsia" w:ascii="方正黑体_GBK" w:hAnsi="方正黑体_GBK" w:eastAsia="方正黑体_GBK" w:cs="方正黑体_GBK"/>
          <w:b w:val="0"/>
          <w:bCs/>
          <w:caps w:val="0"/>
          <w:color w:val="auto"/>
          <w:kern w:val="0"/>
          <w:sz w:val="32"/>
          <w:szCs w:val="32"/>
          <w:highlight w:val="none"/>
          <w:lang w:val="en-US" w:eastAsia="zh-CN"/>
        </w:rPr>
        <w:t>附件3</w:t>
      </w:r>
    </w:p>
    <w:p w14:paraId="3F4C0AE1">
      <w:pPr>
        <w:pageBreakBefore w:val="0"/>
        <w:kinsoku/>
        <w:overflowPunct/>
        <w:topLinePunct w:val="0"/>
        <w:bidi w:val="0"/>
        <w:spacing w:before="240" w:beforeLines="100" w:after="240" w:afterLines="100" w:line="560" w:lineRule="exact"/>
        <w:jc w:val="center"/>
        <w:textAlignment w:val="auto"/>
        <w:rPr>
          <w:rFonts w:hint="default" w:ascii="方正黑体_GBK" w:hAnsi="方正黑体_GBK" w:eastAsia="方正黑体_GBK" w:cs="方正黑体_GBK"/>
          <w:b w:val="0"/>
          <w:bCs w:val="0"/>
          <w:color w:val="auto"/>
          <w:sz w:val="32"/>
          <w:szCs w:val="32"/>
          <w:lang w:val="en-US"/>
        </w:rPr>
      </w:pPr>
      <w:r>
        <w:rPr>
          <w:rFonts w:hint="eastAsia" w:ascii="方正黑体_GBK" w:hAnsi="方正黑体_GBK" w:eastAsia="方正黑体_GBK" w:cs="方正黑体_GBK"/>
          <w:b w:val="0"/>
          <w:bCs w:val="0"/>
          <w:color w:val="auto"/>
          <w:sz w:val="32"/>
          <w:szCs w:val="32"/>
          <w:lang w:val="en-US" w:eastAsia="zh-CN"/>
        </w:rPr>
        <w:t>评分细则</w:t>
      </w:r>
    </w:p>
    <w:tbl>
      <w:tblPr>
        <w:tblStyle w:val="14"/>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39"/>
        <w:gridCol w:w="631"/>
        <w:gridCol w:w="5150"/>
        <w:gridCol w:w="1377"/>
      </w:tblGrid>
      <w:tr w14:paraId="63D5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blHeader/>
          <w:jc w:val="center"/>
        </w:trPr>
        <w:tc>
          <w:tcPr>
            <w:tcW w:w="1970" w:type="dxa"/>
            <w:gridSpan w:val="2"/>
            <w:tcMar>
              <w:top w:w="15" w:type="dxa"/>
              <w:left w:w="74" w:type="dxa"/>
              <w:bottom w:w="15" w:type="dxa"/>
              <w:right w:w="74" w:type="dxa"/>
            </w:tcMar>
            <w:vAlign w:val="center"/>
          </w:tcPr>
          <w:p w14:paraId="50092E4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评分内容及分值</w:t>
            </w:r>
          </w:p>
        </w:tc>
        <w:tc>
          <w:tcPr>
            <w:tcW w:w="5150" w:type="dxa"/>
            <w:tcMar>
              <w:top w:w="15" w:type="dxa"/>
              <w:left w:w="74" w:type="dxa"/>
              <w:bottom w:w="15" w:type="dxa"/>
              <w:right w:w="74" w:type="dxa"/>
            </w:tcMar>
            <w:vAlign w:val="center"/>
          </w:tcPr>
          <w:p w14:paraId="3063C61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评分标准</w:t>
            </w:r>
          </w:p>
        </w:tc>
        <w:tc>
          <w:tcPr>
            <w:tcW w:w="1377" w:type="dxa"/>
            <w:tcMar>
              <w:top w:w="15" w:type="dxa"/>
              <w:left w:w="74" w:type="dxa"/>
              <w:bottom w:w="15" w:type="dxa"/>
              <w:right w:w="74" w:type="dxa"/>
            </w:tcMar>
            <w:vAlign w:val="center"/>
          </w:tcPr>
          <w:p w14:paraId="28C449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赋分</w:t>
            </w:r>
          </w:p>
        </w:tc>
      </w:tr>
      <w:tr w14:paraId="15C5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9" w:hRule="atLeast"/>
          <w:jc w:val="center"/>
        </w:trPr>
        <w:tc>
          <w:tcPr>
            <w:tcW w:w="7120" w:type="dxa"/>
            <w:gridSpan w:val="3"/>
            <w:tcMar>
              <w:top w:w="15" w:type="dxa"/>
              <w:left w:w="74" w:type="dxa"/>
              <w:bottom w:w="15" w:type="dxa"/>
              <w:right w:w="74" w:type="dxa"/>
            </w:tcMar>
            <w:vAlign w:val="center"/>
          </w:tcPr>
          <w:p w14:paraId="5AAF4C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方正仿宋_GBK" w:hAnsi="方正仿宋_GBK" w:eastAsia="方正仿宋_GBK" w:cs="方正仿宋_GBK"/>
                <w:color w:val="auto"/>
                <w:sz w:val="15"/>
                <w:szCs w:val="15"/>
                <w:lang w:val="en-US" w:eastAsia="zh-CN"/>
              </w:rPr>
            </w:pPr>
            <w:r>
              <w:rPr>
                <w:rFonts w:hint="eastAsia" w:ascii="方正楷体_GBK" w:hAnsi="方正楷体_GBK" w:eastAsia="方正楷体_GBK" w:cs="方正楷体_GBK"/>
                <w:color w:val="auto"/>
                <w:sz w:val="28"/>
                <w:szCs w:val="28"/>
                <w:lang w:val="en-US" w:eastAsia="zh-CN"/>
              </w:rPr>
              <w:t>总  分</w:t>
            </w:r>
          </w:p>
        </w:tc>
        <w:tc>
          <w:tcPr>
            <w:tcW w:w="1377" w:type="dxa"/>
            <w:tcMar>
              <w:top w:w="15" w:type="dxa"/>
              <w:left w:w="74" w:type="dxa"/>
              <w:bottom w:w="15" w:type="dxa"/>
              <w:right w:w="74" w:type="dxa"/>
            </w:tcMar>
            <w:vAlign w:val="center"/>
          </w:tcPr>
          <w:p w14:paraId="762FDF15">
            <w:pPr>
              <w:keepNext w:val="0"/>
              <w:keepLines w:val="0"/>
              <w:pageBreakBefore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color w:val="auto"/>
                <w:sz w:val="24"/>
                <w:szCs w:val="24"/>
              </w:rPr>
            </w:pPr>
          </w:p>
        </w:tc>
      </w:tr>
      <w:tr w14:paraId="5D71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66" w:hRule="atLeast"/>
          <w:jc w:val="center"/>
        </w:trPr>
        <w:tc>
          <w:tcPr>
            <w:tcW w:w="1339" w:type="dxa"/>
            <w:tcMar>
              <w:top w:w="15" w:type="dxa"/>
              <w:left w:w="74" w:type="dxa"/>
              <w:bottom w:w="15" w:type="dxa"/>
              <w:right w:w="74" w:type="dxa"/>
            </w:tcMar>
            <w:vAlign w:val="center"/>
          </w:tcPr>
          <w:p w14:paraId="1583F7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价格</w:t>
            </w:r>
          </w:p>
          <w:p w14:paraId="4044FA2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方正仿宋_GBK" w:hAnsi="方正仿宋_GBK" w:eastAsia="方正仿宋_GBK" w:cs="方正仿宋_GBK"/>
                <w:color w:val="auto"/>
                <w:sz w:val="21"/>
                <w:szCs w:val="21"/>
              </w:rPr>
            </w:pPr>
          </w:p>
        </w:tc>
        <w:tc>
          <w:tcPr>
            <w:tcW w:w="631" w:type="dxa"/>
            <w:tcMar>
              <w:top w:w="15" w:type="dxa"/>
              <w:left w:w="74" w:type="dxa"/>
              <w:bottom w:w="15" w:type="dxa"/>
              <w:right w:w="74" w:type="dxa"/>
            </w:tcMar>
            <w:vAlign w:val="center"/>
          </w:tcPr>
          <w:p w14:paraId="3D837A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lang w:val="en-US" w:eastAsia="zh-CN"/>
              </w:rPr>
              <w:t>30</w:t>
            </w:r>
            <w:r>
              <w:rPr>
                <w:rFonts w:hint="eastAsia" w:ascii="方正仿宋_GBK" w:hAnsi="方正仿宋_GBK" w:eastAsia="方正仿宋_GBK" w:cs="方正仿宋_GBK"/>
                <w:color w:val="auto"/>
                <w:sz w:val="21"/>
                <w:szCs w:val="21"/>
              </w:rPr>
              <w:t>分</w:t>
            </w:r>
          </w:p>
        </w:tc>
        <w:tc>
          <w:tcPr>
            <w:tcW w:w="5150" w:type="dxa"/>
            <w:tcMar>
              <w:top w:w="15" w:type="dxa"/>
              <w:left w:w="74" w:type="dxa"/>
              <w:bottom w:w="15" w:type="dxa"/>
              <w:right w:w="74" w:type="dxa"/>
            </w:tcMar>
            <w:vAlign w:val="center"/>
          </w:tcPr>
          <w:p w14:paraId="01A116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（1）评审基准价计算公式：J=（B1+B2+…+ Bn）÷n</w:t>
            </w:r>
          </w:p>
          <w:p w14:paraId="7A8A4DF1">
            <w:pPr>
              <w:keepNext w:val="0"/>
              <w:keepLines w:val="0"/>
              <w:pageBreakBefore w:val="0"/>
              <w:widowControl w:val="0"/>
              <w:kinsoku/>
              <w:wordWrap/>
              <w:overflowPunct/>
              <w:topLinePunct w:val="0"/>
              <w:autoSpaceDE/>
              <w:autoSpaceDN/>
              <w:bidi w:val="0"/>
              <w:adjustRightInd/>
              <w:snapToGrid/>
              <w:spacing w:line="200" w:lineRule="exact"/>
              <w:jc w:val="left"/>
              <w:textAlignment w:val="auto"/>
              <w:rPr>
                <w:rFonts w:hint="eastAsia" w:ascii="方正仿宋_GBK" w:hAnsi="方正仿宋_GBK" w:eastAsia="方正仿宋_GBK" w:cs="方正仿宋_GBK"/>
                <w:color w:val="auto"/>
                <w:sz w:val="18"/>
                <w:szCs w:val="18"/>
                <w:lang w:eastAsia="zh-CN"/>
              </w:rPr>
            </w:pPr>
            <w:r>
              <w:rPr>
                <w:rFonts w:hint="eastAsia" w:ascii="方正仿宋_GBK" w:hAnsi="方正仿宋_GBK" w:eastAsia="方正仿宋_GBK" w:cs="方正仿宋_GBK"/>
                <w:color w:val="auto"/>
                <w:sz w:val="18"/>
                <w:szCs w:val="18"/>
                <w:lang w:eastAsia="zh-CN"/>
              </w:rPr>
              <w:t>（B1 B2……Bn为n个有效比选总价，当有效比选总价个数n≤5时，J为全部有效比选总价的算术平均值；当有效比选总价个数n＞5且n≤9时，J为去掉一个最高和一个最低比选总价后的算术平均值；当有效比选总价个数n＞9时，J为去掉二个最高和一个最低比选总价后的算术平均。）</w:t>
            </w:r>
          </w:p>
          <w:p w14:paraId="6E569BA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（2）偏差率计算公式</w:t>
            </w:r>
            <w:r>
              <w:rPr>
                <w:rFonts w:hint="eastAsia" w:ascii="方正仿宋_GBK" w:hAnsi="方正仿宋_GBK" w:eastAsia="方正仿宋_GBK" w:cs="方正仿宋_GBK"/>
                <w:color w:val="auto"/>
                <w:sz w:val="21"/>
                <w:szCs w:val="21"/>
                <w:lang w:eastAsia="zh-CN"/>
              </w:rPr>
              <w:t>：</w:t>
            </w:r>
            <w:r>
              <w:rPr>
                <w:rFonts w:hint="eastAsia" w:ascii="方正仿宋_GBK" w:hAnsi="方正仿宋_GBK" w:eastAsia="方正仿宋_GBK" w:cs="方正仿宋_GBK"/>
                <w:color w:val="auto"/>
                <w:sz w:val="21"/>
                <w:szCs w:val="21"/>
              </w:rPr>
              <w:t>P=│Bn -J│÷J×100%</w:t>
            </w:r>
          </w:p>
          <w:p w14:paraId="5979464A">
            <w:pPr>
              <w:keepNext w:val="0"/>
              <w:keepLines w:val="0"/>
              <w:pageBreakBefore w:val="0"/>
              <w:widowControl w:val="0"/>
              <w:kinsoku/>
              <w:wordWrap/>
              <w:overflowPunct/>
              <w:topLinePunct w:val="0"/>
              <w:autoSpaceDE/>
              <w:autoSpaceDN/>
              <w:bidi w:val="0"/>
              <w:adjustRightInd/>
              <w:snapToGrid/>
              <w:spacing w:line="200" w:lineRule="exact"/>
              <w:jc w:val="left"/>
              <w:textAlignment w:val="auto"/>
              <w:rPr>
                <w:rFonts w:hint="eastAsia" w:ascii="方正仿宋_GBK" w:hAnsi="方正仿宋_GBK" w:eastAsia="方正仿宋_GBK" w:cs="方正仿宋_GBK"/>
                <w:color w:val="auto"/>
                <w:sz w:val="18"/>
                <w:szCs w:val="18"/>
                <w:lang w:eastAsia="zh-CN"/>
              </w:rPr>
            </w:pPr>
            <w:r>
              <w:rPr>
                <w:rFonts w:hint="eastAsia" w:ascii="方正仿宋_GBK" w:hAnsi="方正仿宋_GBK" w:eastAsia="方正仿宋_GBK" w:cs="方正仿宋_GBK"/>
                <w:color w:val="auto"/>
                <w:sz w:val="18"/>
                <w:szCs w:val="18"/>
                <w:lang w:eastAsia="zh-CN"/>
              </w:rPr>
              <w:t>（Bn：第n个有效比选总价，J：评审基准价）</w:t>
            </w:r>
          </w:p>
          <w:p w14:paraId="36DC555A">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（3）</w:t>
            </w:r>
            <w:r>
              <w:rPr>
                <w:rFonts w:hint="eastAsia" w:ascii="方正仿宋_GBK" w:hAnsi="方正仿宋_GBK" w:eastAsia="方正仿宋_GBK" w:cs="方正仿宋_GBK"/>
                <w:color w:val="auto"/>
                <w:sz w:val="21"/>
                <w:szCs w:val="21"/>
                <w:lang w:val="en-US" w:eastAsia="zh-CN"/>
              </w:rPr>
              <w:t>价格</w:t>
            </w:r>
            <w:r>
              <w:rPr>
                <w:rFonts w:hint="eastAsia" w:ascii="方正仿宋_GBK" w:hAnsi="方正仿宋_GBK" w:eastAsia="方正仿宋_GBK" w:cs="方正仿宋_GBK"/>
                <w:color w:val="auto"/>
                <w:sz w:val="21"/>
                <w:szCs w:val="21"/>
              </w:rPr>
              <w:t>比选得分计算公式：I=</w:t>
            </w:r>
            <w:r>
              <w:rPr>
                <w:rFonts w:hint="eastAsia" w:ascii="方正仿宋_GBK" w:hAnsi="方正仿宋_GBK" w:eastAsia="方正仿宋_GBK" w:cs="方正仿宋_GBK"/>
                <w:color w:val="auto"/>
                <w:sz w:val="21"/>
                <w:szCs w:val="21"/>
                <w:lang w:val="en-US" w:eastAsia="zh-CN"/>
              </w:rPr>
              <w:t>分值</w:t>
            </w:r>
            <w:r>
              <w:rPr>
                <w:rFonts w:hint="eastAsia" w:ascii="方正仿宋_GBK" w:hAnsi="方正仿宋_GBK" w:eastAsia="方正仿宋_GBK" w:cs="方正仿宋_GBK"/>
                <w:color w:val="auto"/>
                <w:sz w:val="21"/>
                <w:szCs w:val="21"/>
              </w:rPr>
              <w:t>－P×K×100</w:t>
            </w:r>
          </w:p>
          <w:p w14:paraId="336D6C23">
            <w:pPr>
              <w:keepNext w:val="0"/>
              <w:keepLines w:val="0"/>
              <w:pageBreakBefore w:val="0"/>
              <w:widowControl w:val="0"/>
              <w:kinsoku/>
              <w:wordWrap/>
              <w:overflowPunct/>
              <w:topLinePunct w:val="0"/>
              <w:autoSpaceDE/>
              <w:autoSpaceDN/>
              <w:bidi w:val="0"/>
              <w:adjustRightInd/>
              <w:snapToGrid/>
              <w:spacing w:line="200" w:lineRule="exact"/>
              <w:jc w:val="left"/>
              <w:textAlignment w:val="auto"/>
              <w:rPr>
                <w:rFonts w:hint="eastAsia"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18"/>
                <w:szCs w:val="18"/>
                <w:lang w:eastAsia="zh-CN"/>
              </w:rPr>
              <w:t>（</w:t>
            </w:r>
            <w:r>
              <w:rPr>
                <w:rFonts w:hint="eastAsia" w:ascii="方正仿宋_GBK" w:hAnsi="方正仿宋_GBK" w:eastAsia="方正仿宋_GBK" w:cs="方正仿宋_GBK"/>
                <w:color w:val="auto"/>
                <w:sz w:val="18"/>
                <w:szCs w:val="18"/>
              </w:rPr>
              <w:t>I</w:t>
            </w:r>
            <w:r>
              <w:rPr>
                <w:rFonts w:hint="eastAsia" w:ascii="方正仿宋_GBK" w:hAnsi="方正仿宋_GBK" w:eastAsia="方正仿宋_GBK" w:cs="方正仿宋_GBK"/>
                <w:color w:val="auto"/>
                <w:sz w:val="18"/>
                <w:szCs w:val="18"/>
                <w:lang w:eastAsia="zh-CN"/>
              </w:rPr>
              <w:t>：</w:t>
            </w:r>
            <w:r>
              <w:rPr>
                <w:rFonts w:hint="eastAsia" w:ascii="方正仿宋_GBK" w:hAnsi="方正仿宋_GBK" w:eastAsia="方正仿宋_GBK" w:cs="方正仿宋_GBK"/>
                <w:color w:val="auto"/>
                <w:sz w:val="18"/>
                <w:szCs w:val="18"/>
              </w:rPr>
              <w:t>比选总价得分（I≥0）</w:t>
            </w:r>
            <w:r>
              <w:rPr>
                <w:rFonts w:hint="eastAsia" w:ascii="方正仿宋_GBK" w:hAnsi="方正仿宋_GBK" w:eastAsia="方正仿宋_GBK" w:cs="方正仿宋_GBK"/>
                <w:color w:val="auto"/>
                <w:sz w:val="18"/>
                <w:szCs w:val="18"/>
                <w:lang w:eastAsia="zh-CN"/>
              </w:rPr>
              <w:t>，</w:t>
            </w:r>
            <w:r>
              <w:rPr>
                <w:rFonts w:hint="eastAsia" w:ascii="方正仿宋_GBK" w:hAnsi="方正仿宋_GBK" w:eastAsia="方正仿宋_GBK" w:cs="方正仿宋_GBK"/>
                <w:color w:val="auto"/>
                <w:sz w:val="18"/>
                <w:szCs w:val="18"/>
              </w:rPr>
              <w:t>P</w:t>
            </w:r>
            <w:r>
              <w:rPr>
                <w:rFonts w:hint="eastAsia" w:ascii="方正仿宋_GBK" w:hAnsi="方正仿宋_GBK" w:eastAsia="方正仿宋_GBK" w:cs="方正仿宋_GBK"/>
                <w:color w:val="auto"/>
                <w:sz w:val="18"/>
                <w:szCs w:val="18"/>
                <w:lang w:eastAsia="zh-CN"/>
              </w:rPr>
              <w:t>：</w:t>
            </w:r>
            <w:r>
              <w:rPr>
                <w:rFonts w:hint="eastAsia" w:ascii="方正仿宋_GBK" w:hAnsi="方正仿宋_GBK" w:eastAsia="方正仿宋_GBK" w:cs="方正仿宋_GBK"/>
                <w:color w:val="auto"/>
                <w:sz w:val="18"/>
                <w:szCs w:val="18"/>
              </w:rPr>
              <w:t>偏差率</w:t>
            </w:r>
            <w:r>
              <w:rPr>
                <w:rFonts w:hint="eastAsia" w:ascii="方正仿宋_GBK" w:hAnsi="方正仿宋_GBK" w:eastAsia="方正仿宋_GBK" w:cs="方正仿宋_GBK"/>
                <w:color w:val="auto"/>
                <w:sz w:val="18"/>
                <w:szCs w:val="18"/>
                <w:lang w:eastAsia="zh-CN"/>
              </w:rPr>
              <w:t>，</w:t>
            </w:r>
            <w:r>
              <w:rPr>
                <w:rFonts w:hint="eastAsia" w:ascii="方正仿宋_GBK" w:hAnsi="方正仿宋_GBK" w:eastAsia="方正仿宋_GBK" w:cs="方正仿宋_GBK"/>
                <w:color w:val="auto"/>
                <w:sz w:val="18"/>
                <w:szCs w:val="18"/>
              </w:rPr>
              <w:t>K</w:t>
            </w:r>
            <w:r>
              <w:rPr>
                <w:rFonts w:hint="eastAsia" w:ascii="方正仿宋_GBK" w:hAnsi="方正仿宋_GBK" w:eastAsia="方正仿宋_GBK" w:cs="方正仿宋_GBK"/>
                <w:color w:val="auto"/>
                <w:sz w:val="18"/>
                <w:szCs w:val="18"/>
                <w:lang w:eastAsia="zh-CN"/>
              </w:rPr>
              <w:t>：</w:t>
            </w:r>
            <w:r>
              <w:rPr>
                <w:rFonts w:hint="eastAsia" w:ascii="方正仿宋_GBK" w:hAnsi="方正仿宋_GBK" w:eastAsia="方正仿宋_GBK" w:cs="方正仿宋_GBK"/>
                <w:color w:val="auto"/>
                <w:sz w:val="18"/>
                <w:szCs w:val="18"/>
              </w:rPr>
              <w:t>扣分系数：Bn大于J时，K取</w:t>
            </w:r>
            <w:r>
              <w:rPr>
                <w:rFonts w:hint="eastAsia" w:ascii="方正仿宋_GBK" w:hAnsi="方正仿宋_GBK" w:eastAsia="方正仿宋_GBK" w:cs="方正仿宋_GBK"/>
                <w:color w:val="auto"/>
                <w:sz w:val="18"/>
                <w:szCs w:val="18"/>
                <w:lang w:val="en-US" w:eastAsia="zh-CN"/>
              </w:rPr>
              <w:t>4</w:t>
            </w:r>
            <w:r>
              <w:rPr>
                <w:rFonts w:hint="eastAsia" w:ascii="方正仿宋_GBK" w:hAnsi="方正仿宋_GBK" w:eastAsia="方正仿宋_GBK" w:cs="方正仿宋_GBK"/>
                <w:color w:val="auto"/>
                <w:sz w:val="18"/>
                <w:szCs w:val="18"/>
              </w:rPr>
              <w:t>；Bn小于J时，K取</w:t>
            </w:r>
            <w:r>
              <w:rPr>
                <w:rFonts w:hint="eastAsia" w:ascii="方正仿宋_GBK" w:hAnsi="方正仿宋_GBK" w:eastAsia="方正仿宋_GBK" w:cs="方正仿宋_GBK"/>
                <w:color w:val="auto"/>
                <w:sz w:val="18"/>
                <w:szCs w:val="18"/>
                <w:lang w:val="en-US" w:eastAsia="zh-CN"/>
              </w:rPr>
              <w:t>2</w:t>
            </w:r>
            <w:r>
              <w:rPr>
                <w:rFonts w:hint="eastAsia" w:ascii="方正仿宋_GBK" w:hAnsi="方正仿宋_GBK" w:eastAsia="方正仿宋_GBK" w:cs="方正仿宋_GBK"/>
                <w:color w:val="auto"/>
                <w:sz w:val="18"/>
                <w:szCs w:val="18"/>
              </w:rPr>
              <w:t>；Bn等于J时，K取0。</w:t>
            </w:r>
            <w:r>
              <w:rPr>
                <w:rFonts w:hint="eastAsia" w:ascii="方正仿宋_GBK" w:hAnsi="方正仿宋_GBK" w:eastAsia="方正仿宋_GBK" w:cs="方正仿宋_GBK"/>
                <w:color w:val="auto"/>
                <w:sz w:val="18"/>
                <w:szCs w:val="18"/>
                <w:lang w:val="en-US" w:eastAsia="zh-CN"/>
              </w:rPr>
              <w:t>得分计算为负数则取0</w:t>
            </w:r>
            <w:r>
              <w:rPr>
                <w:rFonts w:hint="eastAsia" w:ascii="方正仿宋_GBK" w:hAnsi="方正仿宋_GBK" w:eastAsia="方正仿宋_GBK" w:cs="方正仿宋_GBK"/>
                <w:color w:val="auto"/>
                <w:sz w:val="18"/>
                <w:szCs w:val="18"/>
                <w:lang w:eastAsia="zh-CN"/>
              </w:rPr>
              <w:t>）</w:t>
            </w:r>
          </w:p>
        </w:tc>
        <w:tc>
          <w:tcPr>
            <w:tcW w:w="1377" w:type="dxa"/>
            <w:tcMar>
              <w:top w:w="15" w:type="dxa"/>
              <w:left w:w="74" w:type="dxa"/>
              <w:bottom w:w="15" w:type="dxa"/>
              <w:right w:w="74" w:type="dxa"/>
            </w:tcMar>
            <w:vAlign w:val="center"/>
          </w:tcPr>
          <w:p w14:paraId="12BCECAF">
            <w:pPr>
              <w:keepNext w:val="0"/>
              <w:keepLines w:val="0"/>
              <w:pageBreakBefore w:val="0"/>
              <w:kinsoku/>
              <w:wordWrap/>
              <w:overflowPunct/>
              <w:topLinePunct w:val="0"/>
              <w:autoSpaceDE/>
              <w:autoSpaceDN/>
              <w:bidi w:val="0"/>
              <w:adjustRightInd/>
              <w:snapToGrid/>
              <w:spacing w:line="360" w:lineRule="auto"/>
              <w:textAlignment w:val="auto"/>
              <w:rPr>
                <w:rFonts w:hint="eastAsia" w:ascii="方正仿宋_GBK" w:hAnsi="方正仿宋_GBK" w:eastAsia="方正仿宋_GBK" w:cs="方正仿宋_GBK"/>
                <w:color w:val="auto"/>
                <w:sz w:val="24"/>
                <w:szCs w:val="24"/>
              </w:rPr>
            </w:pPr>
          </w:p>
        </w:tc>
      </w:tr>
      <w:tr w14:paraId="5EA6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02" w:hRule="atLeast"/>
          <w:jc w:val="center"/>
        </w:trPr>
        <w:tc>
          <w:tcPr>
            <w:tcW w:w="1339" w:type="dxa"/>
            <w:tcMar>
              <w:top w:w="15" w:type="dxa"/>
              <w:left w:w="74" w:type="dxa"/>
              <w:bottom w:w="15" w:type="dxa"/>
              <w:right w:w="74" w:type="dxa"/>
            </w:tcMar>
            <w:vAlign w:val="center"/>
          </w:tcPr>
          <w:p w14:paraId="037E3FA0">
            <w:pPr>
              <w:jc w:val="center"/>
              <w:rPr>
                <w:rFonts w:hint="eastAsia"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rPr>
              <w:t>类似业绩</w:t>
            </w:r>
          </w:p>
        </w:tc>
        <w:tc>
          <w:tcPr>
            <w:tcW w:w="631" w:type="dxa"/>
            <w:tcMar>
              <w:top w:w="15" w:type="dxa"/>
              <w:left w:w="74" w:type="dxa"/>
              <w:bottom w:w="15" w:type="dxa"/>
              <w:right w:w="74" w:type="dxa"/>
            </w:tcMar>
            <w:vAlign w:val="center"/>
          </w:tcPr>
          <w:p w14:paraId="75FC32F7">
            <w:pPr>
              <w:jc w:val="center"/>
              <w:rPr>
                <w:rFonts w:hint="eastAsia"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lang w:val="en-US" w:eastAsia="zh-CN"/>
              </w:rPr>
              <w:t>15</w:t>
            </w:r>
            <w:r>
              <w:rPr>
                <w:rFonts w:hint="eastAsia" w:ascii="方正仿宋_GBK" w:hAnsi="方正仿宋_GBK" w:eastAsia="方正仿宋_GBK" w:cs="方正仿宋_GBK"/>
                <w:color w:val="auto"/>
                <w:sz w:val="21"/>
                <w:szCs w:val="21"/>
              </w:rPr>
              <w:t>分</w:t>
            </w:r>
          </w:p>
        </w:tc>
        <w:tc>
          <w:tcPr>
            <w:tcW w:w="5150" w:type="dxa"/>
            <w:tcMar>
              <w:top w:w="15" w:type="dxa"/>
              <w:left w:w="74" w:type="dxa"/>
              <w:bottom w:w="15" w:type="dxa"/>
              <w:right w:w="74" w:type="dxa"/>
            </w:tcMar>
            <w:vAlign w:val="top"/>
          </w:tcPr>
          <w:p w14:paraId="74E9B75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方正仿宋_GBK" w:hAnsi="方正仿宋_GBK" w:eastAsia="方正仿宋_GBK" w:cs="方正仿宋_GBK"/>
                <w:b/>
                <w:bCs/>
                <w:sz w:val="21"/>
                <w:szCs w:val="21"/>
              </w:rPr>
            </w:pPr>
            <w:r>
              <w:rPr>
                <w:rFonts w:hint="eastAsia" w:ascii="方正仿宋_GBK" w:hAnsi="方正仿宋_GBK" w:eastAsia="方正仿宋_GBK" w:cs="方正仿宋_GBK"/>
                <w:sz w:val="21"/>
                <w:szCs w:val="21"/>
              </w:rPr>
              <w:t>提供20</w:t>
            </w:r>
            <w:r>
              <w:rPr>
                <w:rFonts w:hint="eastAsia" w:ascii="方正仿宋_GBK" w:hAnsi="方正仿宋_GBK" w:eastAsia="方正仿宋_GBK" w:cs="方正仿宋_GBK"/>
                <w:sz w:val="21"/>
                <w:szCs w:val="21"/>
                <w:lang w:val="en-US" w:eastAsia="zh-CN"/>
              </w:rPr>
              <w:t>23</w:t>
            </w:r>
            <w:r>
              <w:rPr>
                <w:rFonts w:hint="eastAsia" w:ascii="方正仿宋_GBK" w:hAnsi="方正仿宋_GBK" w:eastAsia="方正仿宋_GBK" w:cs="方正仿宋_GBK"/>
                <w:sz w:val="21"/>
                <w:szCs w:val="21"/>
              </w:rPr>
              <w:t>年至今的类似项目业绩，每提供一份有效业绩得</w:t>
            </w:r>
            <w:r>
              <w:rPr>
                <w:rFonts w:hint="eastAsia" w:ascii="方正仿宋_GBK" w:hAnsi="方正仿宋_GBK" w:eastAsia="方正仿宋_GBK" w:cs="方正仿宋_GBK"/>
                <w:sz w:val="21"/>
                <w:szCs w:val="21"/>
                <w:lang w:val="en-US" w:eastAsia="zh-CN"/>
              </w:rPr>
              <w:t>3</w:t>
            </w:r>
            <w:r>
              <w:rPr>
                <w:rFonts w:hint="eastAsia" w:ascii="方正仿宋_GBK" w:hAnsi="方正仿宋_GBK" w:eastAsia="方正仿宋_GBK" w:cs="方正仿宋_GBK"/>
                <w:sz w:val="21"/>
                <w:szCs w:val="21"/>
              </w:rPr>
              <w:t>分，最多得</w:t>
            </w:r>
            <w:r>
              <w:rPr>
                <w:rFonts w:hint="eastAsia" w:ascii="方正仿宋_GBK" w:hAnsi="方正仿宋_GBK" w:eastAsia="方正仿宋_GBK" w:cs="方正仿宋_GBK"/>
                <w:sz w:val="21"/>
                <w:szCs w:val="21"/>
                <w:lang w:val="en-US" w:eastAsia="zh-CN"/>
              </w:rPr>
              <w:t>15</w:t>
            </w:r>
            <w:r>
              <w:rPr>
                <w:rFonts w:hint="eastAsia" w:ascii="方正仿宋_GBK" w:hAnsi="方正仿宋_GBK" w:eastAsia="方正仿宋_GBK" w:cs="方正仿宋_GBK"/>
                <w:sz w:val="21"/>
                <w:szCs w:val="21"/>
              </w:rPr>
              <w:t>分。</w:t>
            </w:r>
          </w:p>
          <w:p w14:paraId="33956269">
            <w:pPr>
              <w:snapToGrid w:val="0"/>
              <w:spacing w:line="240" w:lineRule="auto"/>
              <w:rPr>
                <w:rFonts w:hint="eastAsia"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val="0"/>
                <w:sz w:val="21"/>
                <w:szCs w:val="21"/>
              </w:rPr>
              <w:t>备注：须提供合同复印件（至少包含合同关键页及双方盖章页）或中标通知书。</w:t>
            </w:r>
          </w:p>
        </w:tc>
        <w:tc>
          <w:tcPr>
            <w:tcW w:w="1377" w:type="dxa"/>
            <w:tcMar>
              <w:top w:w="15" w:type="dxa"/>
              <w:left w:w="74" w:type="dxa"/>
              <w:bottom w:w="15" w:type="dxa"/>
              <w:right w:w="74" w:type="dxa"/>
            </w:tcMar>
            <w:vAlign w:val="center"/>
          </w:tcPr>
          <w:p w14:paraId="7A66A7AA">
            <w:pPr>
              <w:jc w:val="center"/>
              <w:rPr>
                <w:rFonts w:hint="eastAsia" w:ascii="方正仿宋_GBK" w:hAnsi="方正仿宋_GBK" w:eastAsia="方正仿宋_GBK" w:cs="方正仿宋_GBK"/>
                <w:color w:val="auto"/>
                <w:sz w:val="21"/>
                <w:szCs w:val="21"/>
              </w:rPr>
            </w:pPr>
          </w:p>
        </w:tc>
      </w:tr>
      <w:tr w14:paraId="4F97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437" w:hRule="atLeast"/>
          <w:jc w:val="center"/>
        </w:trPr>
        <w:tc>
          <w:tcPr>
            <w:tcW w:w="1339" w:type="dxa"/>
            <w:tcMar>
              <w:top w:w="15" w:type="dxa"/>
              <w:left w:w="74" w:type="dxa"/>
              <w:bottom w:w="15" w:type="dxa"/>
              <w:right w:w="74" w:type="dxa"/>
            </w:tcMar>
            <w:vAlign w:val="center"/>
          </w:tcPr>
          <w:p w14:paraId="15DAA961">
            <w:pPr>
              <w:spacing w:line="360" w:lineRule="auto"/>
              <w:jc w:val="center"/>
              <w:rPr>
                <w:rFonts w:hint="eastAsia"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rPr>
              <w:t>人员配备及</w:t>
            </w:r>
            <w:r>
              <w:rPr>
                <w:rFonts w:hint="eastAsia" w:ascii="方正仿宋_GBK" w:hAnsi="方正仿宋_GBK" w:eastAsia="方正仿宋_GBK" w:cs="方正仿宋_GBK"/>
                <w:sz w:val="21"/>
                <w:szCs w:val="21"/>
                <w:lang w:val="en-US" w:eastAsia="zh-CN"/>
              </w:rPr>
              <w:t>资格</w:t>
            </w:r>
          </w:p>
        </w:tc>
        <w:tc>
          <w:tcPr>
            <w:tcW w:w="631" w:type="dxa"/>
            <w:tcMar>
              <w:top w:w="15" w:type="dxa"/>
              <w:left w:w="74" w:type="dxa"/>
              <w:bottom w:w="15" w:type="dxa"/>
              <w:right w:w="74" w:type="dxa"/>
            </w:tcMar>
            <w:vAlign w:val="center"/>
          </w:tcPr>
          <w:p w14:paraId="2AB3CBE0">
            <w:pPr>
              <w:spacing w:line="360" w:lineRule="auto"/>
              <w:jc w:val="center"/>
              <w:rPr>
                <w:rFonts w:hint="eastAsia"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lang w:val="en-US" w:eastAsia="zh-CN"/>
              </w:rPr>
              <w:t>20</w:t>
            </w:r>
            <w:r>
              <w:rPr>
                <w:rFonts w:hint="eastAsia" w:ascii="方正仿宋_GBK" w:hAnsi="方正仿宋_GBK" w:eastAsia="方正仿宋_GBK" w:cs="方正仿宋_GBK"/>
                <w:color w:val="auto"/>
                <w:sz w:val="21"/>
                <w:szCs w:val="21"/>
              </w:rPr>
              <w:t>分</w:t>
            </w:r>
          </w:p>
        </w:tc>
        <w:tc>
          <w:tcPr>
            <w:tcW w:w="5150" w:type="dxa"/>
            <w:tcMar>
              <w:top w:w="15" w:type="dxa"/>
              <w:left w:w="74" w:type="dxa"/>
              <w:bottom w:w="15" w:type="dxa"/>
              <w:right w:w="74" w:type="dxa"/>
            </w:tcMar>
            <w:vAlign w:val="center"/>
          </w:tcPr>
          <w:p w14:paraId="3FBF6896">
            <w:pPr>
              <w:snapToGrid w:val="0"/>
              <w:spacing w:line="240" w:lineRule="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lang w:val="en-US" w:eastAsia="zh-CN"/>
              </w:rPr>
              <w:t>配备前期检修人员至少2人，每增加1人</w:t>
            </w:r>
            <w:r>
              <w:rPr>
                <w:rFonts w:hint="eastAsia" w:ascii="方正仿宋_GBK" w:hAnsi="方正仿宋_GBK" w:eastAsia="方正仿宋_GBK" w:cs="方正仿宋_GBK"/>
                <w:sz w:val="21"/>
                <w:szCs w:val="21"/>
              </w:rPr>
              <w:t>得</w:t>
            </w:r>
            <w:r>
              <w:rPr>
                <w:rFonts w:hint="eastAsia" w:ascii="方正仿宋_GBK" w:hAnsi="方正仿宋_GBK" w:eastAsia="方正仿宋_GBK" w:cs="方正仿宋_GBK"/>
                <w:sz w:val="21"/>
                <w:szCs w:val="21"/>
                <w:lang w:val="en-US" w:eastAsia="zh-CN"/>
              </w:rPr>
              <w:t>3</w:t>
            </w:r>
            <w:r>
              <w:rPr>
                <w:rFonts w:hint="eastAsia" w:ascii="方正仿宋_GBK" w:hAnsi="方正仿宋_GBK" w:eastAsia="方正仿宋_GBK" w:cs="方正仿宋_GBK"/>
                <w:sz w:val="21"/>
                <w:szCs w:val="21"/>
              </w:rPr>
              <w:t>分，</w:t>
            </w:r>
            <w:r>
              <w:rPr>
                <w:rFonts w:hint="eastAsia" w:ascii="方正仿宋_GBK" w:hAnsi="方正仿宋_GBK" w:eastAsia="方正仿宋_GBK" w:cs="方正仿宋_GBK"/>
                <w:sz w:val="21"/>
                <w:szCs w:val="21"/>
                <w:lang w:val="en-US" w:eastAsia="zh-CN"/>
              </w:rPr>
              <w:t>最高得6</w:t>
            </w:r>
            <w:r>
              <w:rPr>
                <w:rFonts w:hint="eastAsia" w:ascii="方正仿宋_GBK" w:hAnsi="方正仿宋_GBK" w:eastAsia="方正仿宋_GBK" w:cs="方正仿宋_GBK"/>
                <w:sz w:val="21"/>
                <w:szCs w:val="21"/>
              </w:rPr>
              <w:t>分；</w:t>
            </w:r>
            <w:r>
              <w:rPr>
                <w:rFonts w:hint="eastAsia" w:ascii="方正仿宋_GBK" w:hAnsi="方正仿宋_GBK" w:eastAsia="方正仿宋_GBK" w:cs="方正仿宋_GBK"/>
                <w:sz w:val="21"/>
                <w:szCs w:val="21"/>
                <w:lang w:val="en-US" w:eastAsia="zh-CN"/>
              </w:rPr>
              <w:t>正常供暖后固定运维</w:t>
            </w:r>
            <w:r>
              <w:rPr>
                <w:rFonts w:hint="eastAsia" w:ascii="方正仿宋_GBK" w:hAnsi="方正仿宋_GBK" w:eastAsia="方正仿宋_GBK" w:cs="方正仿宋_GBK"/>
                <w:sz w:val="21"/>
                <w:szCs w:val="21"/>
              </w:rPr>
              <w:t>人员</w:t>
            </w:r>
            <w:r>
              <w:rPr>
                <w:rFonts w:hint="eastAsia" w:ascii="方正仿宋_GBK" w:hAnsi="方正仿宋_GBK" w:eastAsia="方正仿宋_GBK" w:cs="方正仿宋_GBK"/>
                <w:sz w:val="21"/>
                <w:szCs w:val="21"/>
                <w:lang w:val="en-US" w:eastAsia="zh-CN"/>
              </w:rPr>
              <w:t>至少1人，每增加1人得3分，最高得6分；检修运维人员至少1人</w:t>
            </w:r>
            <w:r>
              <w:rPr>
                <w:rFonts w:hint="eastAsia" w:ascii="方正仿宋_GBK" w:hAnsi="方正仿宋_GBK" w:eastAsia="方正仿宋_GBK" w:cs="方正仿宋_GBK"/>
                <w:sz w:val="21"/>
                <w:szCs w:val="21"/>
              </w:rPr>
              <w:t>具备</w:t>
            </w:r>
            <w:r>
              <w:rPr>
                <w:rFonts w:hint="eastAsia" w:ascii="方正仿宋_GBK" w:hAnsi="方正仿宋_GBK" w:eastAsia="方正仿宋_GBK" w:cs="方正仿宋_GBK"/>
                <w:sz w:val="21"/>
                <w:szCs w:val="21"/>
                <w:lang w:val="en-US" w:eastAsia="zh-CN"/>
              </w:rPr>
              <w:t>G1工业锅炉司炉证，在此基础上每增加1名具备锅炉相关特种设备操作资质的加4分，最高得8分</w:t>
            </w:r>
            <w:r>
              <w:rPr>
                <w:rFonts w:hint="eastAsia" w:ascii="方正仿宋_GBK" w:hAnsi="方正仿宋_GBK" w:eastAsia="方正仿宋_GBK" w:cs="方正仿宋_GBK"/>
                <w:sz w:val="21"/>
                <w:szCs w:val="21"/>
              </w:rPr>
              <w:t>。</w:t>
            </w:r>
          </w:p>
          <w:p w14:paraId="17D0D39A">
            <w:pPr>
              <w:snapToGrid w:val="0"/>
              <w:spacing w:line="240" w:lineRule="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备注：提供人员配备一览表、身份证、资格证等证明材料。</w:t>
            </w:r>
          </w:p>
        </w:tc>
        <w:tc>
          <w:tcPr>
            <w:tcW w:w="1377" w:type="dxa"/>
            <w:tcMar>
              <w:top w:w="15" w:type="dxa"/>
              <w:left w:w="74" w:type="dxa"/>
              <w:bottom w:w="15" w:type="dxa"/>
              <w:right w:w="74" w:type="dxa"/>
            </w:tcMar>
            <w:vAlign w:val="center"/>
          </w:tcPr>
          <w:p w14:paraId="414F9F62">
            <w:pPr>
              <w:spacing w:line="360" w:lineRule="auto"/>
              <w:jc w:val="center"/>
              <w:rPr>
                <w:rFonts w:hint="eastAsia" w:ascii="方正仿宋_GBK" w:hAnsi="方正仿宋_GBK" w:eastAsia="方正仿宋_GBK" w:cs="方正仿宋_GBK"/>
                <w:color w:val="auto"/>
                <w:sz w:val="21"/>
                <w:szCs w:val="21"/>
              </w:rPr>
            </w:pPr>
          </w:p>
        </w:tc>
      </w:tr>
      <w:tr w14:paraId="5F2E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476" w:hRule="atLeast"/>
          <w:jc w:val="center"/>
        </w:trPr>
        <w:tc>
          <w:tcPr>
            <w:tcW w:w="1339" w:type="dxa"/>
            <w:tcMar>
              <w:top w:w="15" w:type="dxa"/>
              <w:left w:w="74" w:type="dxa"/>
              <w:bottom w:w="15" w:type="dxa"/>
              <w:right w:w="74" w:type="dxa"/>
            </w:tcMar>
            <w:vAlign w:val="center"/>
          </w:tcPr>
          <w:p w14:paraId="7B9AC634">
            <w:pPr>
              <w:spacing w:line="360" w:lineRule="auto"/>
              <w:jc w:val="center"/>
              <w:rPr>
                <w:rFonts w:hint="eastAsia"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lang w:val="en-US" w:eastAsia="zh-CN"/>
              </w:rPr>
              <w:t>服务方案</w:t>
            </w:r>
          </w:p>
        </w:tc>
        <w:tc>
          <w:tcPr>
            <w:tcW w:w="631" w:type="dxa"/>
            <w:tcMar>
              <w:top w:w="15" w:type="dxa"/>
              <w:left w:w="74" w:type="dxa"/>
              <w:bottom w:w="15" w:type="dxa"/>
              <w:right w:w="74" w:type="dxa"/>
            </w:tcMar>
            <w:vAlign w:val="center"/>
          </w:tcPr>
          <w:p w14:paraId="2108FAED">
            <w:pPr>
              <w:spacing w:line="360" w:lineRule="auto"/>
              <w:jc w:val="center"/>
              <w:rPr>
                <w:rFonts w:hint="default"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lang w:val="en-US" w:eastAsia="zh-CN"/>
              </w:rPr>
              <w:t>30</w:t>
            </w:r>
            <w:r>
              <w:rPr>
                <w:rFonts w:hint="eastAsia" w:ascii="方正仿宋_GBK" w:hAnsi="方正仿宋_GBK" w:eastAsia="方正仿宋_GBK" w:cs="方正仿宋_GBK"/>
                <w:color w:val="auto"/>
                <w:sz w:val="21"/>
                <w:szCs w:val="21"/>
              </w:rPr>
              <w:t>分</w:t>
            </w:r>
          </w:p>
        </w:tc>
        <w:tc>
          <w:tcPr>
            <w:tcW w:w="5150" w:type="dxa"/>
            <w:tcMar>
              <w:top w:w="15" w:type="dxa"/>
              <w:left w:w="74" w:type="dxa"/>
              <w:bottom w:w="15" w:type="dxa"/>
              <w:right w:w="74" w:type="dxa"/>
            </w:tcMar>
            <w:vAlign w:val="center"/>
          </w:tcPr>
          <w:p w14:paraId="5EF0A66D">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sz w:val="21"/>
                <w:szCs w:val="21"/>
                <w:lang w:val="en-US" w:eastAsia="zh-CN"/>
              </w:rPr>
              <w:t>服务方案包含项目概况（5分）、组织体系（5分）、运行操作管理（5分）、设备维保检修（5分）、安全管理（5分）、应急处置（5分）等，每项内容不详实、操作性不强的可酌情扣1-3分。</w:t>
            </w:r>
          </w:p>
        </w:tc>
        <w:tc>
          <w:tcPr>
            <w:tcW w:w="1377" w:type="dxa"/>
            <w:tcMar>
              <w:top w:w="15" w:type="dxa"/>
              <w:left w:w="74" w:type="dxa"/>
              <w:bottom w:w="15" w:type="dxa"/>
              <w:right w:w="74" w:type="dxa"/>
            </w:tcMar>
            <w:vAlign w:val="center"/>
          </w:tcPr>
          <w:p w14:paraId="5979566D">
            <w:pPr>
              <w:spacing w:line="360" w:lineRule="auto"/>
              <w:jc w:val="center"/>
              <w:rPr>
                <w:rFonts w:hint="eastAsia" w:ascii="方正仿宋_GBK" w:hAnsi="方正仿宋_GBK" w:eastAsia="方正仿宋_GBK" w:cs="方正仿宋_GBK"/>
                <w:b/>
                <w:bCs/>
                <w:color w:val="auto"/>
                <w:sz w:val="21"/>
                <w:szCs w:val="21"/>
              </w:rPr>
            </w:pPr>
          </w:p>
        </w:tc>
      </w:tr>
      <w:tr w14:paraId="6ACF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40" w:hRule="atLeast"/>
          <w:jc w:val="center"/>
        </w:trPr>
        <w:tc>
          <w:tcPr>
            <w:tcW w:w="1339" w:type="dxa"/>
            <w:shd w:val="clear" w:color="auto" w:fill="auto"/>
            <w:tcMar>
              <w:top w:w="15" w:type="dxa"/>
              <w:left w:w="74" w:type="dxa"/>
              <w:bottom w:w="15" w:type="dxa"/>
              <w:right w:w="74" w:type="dxa"/>
            </w:tcMar>
            <w:vAlign w:val="center"/>
          </w:tcPr>
          <w:p w14:paraId="2CD91BDD">
            <w:pPr>
              <w:spacing w:line="360" w:lineRule="auto"/>
              <w:jc w:val="center"/>
              <w:rPr>
                <w:rFonts w:hint="default"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color w:val="auto"/>
                <w:kern w:val="2"/>
                <w:sz w:val="21"/>
                <w:szCs w:val="21"/>
                <w:lang w:val="en-US" w:eastAsia="zh-CN" w:bidi="ar-SA"/>
              </w:rPr>
              <w:t>服务承诺</w:t>
            </w:r>
          </w:p>
        </w:tc>
        <w:tc>
          <w:tcPr>
            <w:tcW w:w="631" w:type="dxa"/>
            <w:shd w:val="clear" w:color="auto" w:fill="auto"/>
            <w:tcMar>
              <w:top w:w="15" w:type="dxa"/>
              <w:left w:w="74" w:type="dxa"/>
              <w:bottom w:w="15" w:type="dxa"/>
              <w:right w:w="74" w:type="dxa"/>
            </w:tcMar>
            <w:vAlign w:val="center"/>
          </w:tcPr>
          <w:p w14:paraId="72358467">
            <w:pPr>
              <w:spacing w:line="360" w:lineRule="auto"/>
              <w:jc w:val="center"/>
              <w:rPr>
                <w:rFonts w:hint="default"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color w:val="auto"/>
                <w:kern w:val="2"/>
                <w:sz w:val="21"/>
                <w:szCs w:val="21"/>
                <w:lang w:val="en-US" w:eastAsia="zh-CN" w:bidi="ar-SA"/>
              </w:rPr>
              <w:t>5分</w:t>
            </w:r>
          </w:p>
        </w:tc>
        <w:tc>
          <w:tcPr>
            <w:tcW w:w="5150" w:type="dxa"/>
            <w:shd w:val="clear" w:color="auto" w:fill="auto"/>
            <w:tcMar>
              <w:top w:w="15" w:type="dxa"/>
              <w:left w:w="74" w:type="dxa"/>
              <w:bottom w:w="15" w:type="dxa"/>
              <w:right w:w="74" w:type="dxa"/>
            </w:tcMar>
            <w:vAlign w:val="center"/>
          </w:tcPr>
          <w:p w14:paraId="6DD1EFE7">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default" w:ascii="方正仿宋_GBK" w:hAnsi="方正仿宋_GBK" w:eastAsia="方正仿宋_GBK" w:cs="方正仿宋_GBK"/>
                <w:color w:val="auto"/>
                <w:kern w:val="2"/>
                <w:sz w:val="21"/>
                <w:szCs w:val="21"/>
                <w:lang w:val="en-US" w:eastAsia="zh-CN" w:bidi="ar-SA"/>
              </w:rPr>
            </w:pPr>
            <w:r>
              <w:rPr>
                <w:rFonts w:hint="eastAsia" w:ascii="方正仿宋_GBK" w:hAnsi="方正仿宋_GBK" w:eastAsia="方正仿宋_GBK" w:cs="方正仿宋_GBK"/>
                <w:color w:val="auto"/>
                <w:kern w:val="2"/>
                <w:sz w:val="21"/>
                <w:szCs w:val="21"/>
                <w:lang w:val="en-US" w:eastAsia="zh-CN" w:bidi="ar-SA"/>
              </w:rPr>
              <w:t>提供良好的服务承诺函的得5分，不提供不得分。</w:t>
            </w:r>
          </w:p>
        </w:tc>
        <w:tc>
          <w:tcPr>
            <w:tcW w:w="1377" w:type="dxa"/>
            <w:tcMar>
              <w:top w:w="15" w:type="dxa"/>
              <w:left w:w="74" w:type="dxa"/>
              <w:bottom w:w="15" w:type="dxa"/>
              <w:right w:w="74" w:type="dxa"/>
            </w:tcMar>
            <w:vAlign w:val="center"/>
          </w:tcPr>
          <w:p w14:paraId="47F54E21">
            <w:pPr>
              <w:spacing w:line="360" w:lineRule="auto"/>
              <w:jc w:val="center"/>
              <w:rPr>
                <w:rFonts w:hint="eastAsia" w:ascii="方正仿宋_GBK" w:hAnsi="方正仿宋_GBK" w:eastAsia="方正仿宋_GBK" w:cs="方正仿宋_GBK"/>
                <w:b/>
                <w:bCs/>
                <w:color w:val="auto"/>
                <w:sz w:val="21"/>
                <w:szCs w:val="21"/>
              </w:rPr>
            </w:pPr>
          </w:p>
        </w:tc>
      </w:tr>
    </w:tbl>
    <w:p w14:paraId="0D4C1EEB">
      <w:pPr>
        <w:pStyle w:val="7"/>
        <w:pageBreakBefore w:val="0"/>
        <w:kinsoku/>
        <w:overflowPunct/>
        <w:topLinePunct w:val="0"/>
        <w:bidi w:val="0"/>
        <w:spacing w:line="560" w:lineRule="exact"/>
        <w:ind w:left="0" w:leftChars="0" w:firstLine="0" w:firstLineChars="0"/>
        <w:jc w:val="both"/>
        <w:textAlignment w:val="auto"/>
        <w:rPr>
          <w:rFonts w:hint="default" w:ascii="Times New Roman" w:hAnsi="Times New Roman" w:eastAsia="方正黑体_GBK" w:cs="Times New Roman"/>
          <w:b w:val="0"/>
          <w:bCs/>
          <w:caps w:val="0"/>
          <w:color w:val="auto"/>
          <w:kern w:val="0"/>
          <w:sz w:val="32"/>
          <w:szCs w:val="32"/>
          <w:highlight w:val="none"/>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embedRegular r:id="rId1" w:fontKey="{83A6B8EF-CFBB-436F-8FD4-C0FE23C4A05B}"/>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embedRegular r:id="rId2" w:fontKey="{07E264BE-CDA9-4EEB-9049-4F51705B5C92}"/>
  </w:font>
  <w:font w:name="方正楷体_GBK">
    <w:panose1 w:val="03000509000000000000"/>
    <w:charset w:val="86"/>
    <w:family w:val="auto"/>
    <w:pitch w:val="default"/>
    <w:sig w:usb0="00000001" w:usb1="080E0000" w:usb2="00000000" w:usb3="00000000" w:csb0="00040000" w:csb1="00000000"/>
    <w:embedRegular r:id="rId3" w:fontKey="{E3CE7D8D-5AEB-4769-8495-9AB00CBE0AF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3D3C2">
    <w:pPr>
      <w:pStyle w:val="9"/>
      <w:ind w:right="72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-100330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69786">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7.9pt;height:144pt;width:144pt;mso-position-horizontal:outside;mso-position-horizontal-relative:margin;mso-wrap-style:none;z-index:251659264;mso-width-relative:page;mso-height-relative:page;" filled="f" stroked="f" coordsize="21600,21600" o:gfxdata="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hhfrk1gAAAAgBAAAPAAAAAAAAAAEAIAAAACIAAABkcnMvZG93bnJldi54bWxQSwECFAAU&#10;AAAACACHTuJA0zseFiwCAABXBAAADgAAAAAAAAABACAAAAAlAQAAZHJzL2Uyb0RvYy54bWxQSwUG&#10;AAAAAAYABgBZAQAAwwUAAAAA&#10;">
              <v:fill on="f" focussize="0,0"/>
              <v:stroke on="f" weight="0.5pt"/>
              <v:imagedata o:title=""/>
              <o:lock v:ext="edit" aspectratio="f"/>
              <v:textbox inset="0mm,0mm,0mm,0mm" style="mso-fit-shape-to-text:t;">
                <w:txbxContent>
                  <w:p w14:paraId="16569786">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D6899"/>
    <w:rsid w:val="01543C57"/>
    <w:rsid w:val="029407CF"/>
    <w:rsid w:val="032D650E"/>
    <w:rsid w:val="03413725"/>
    <w:rsid w:val="03545D83"/>
    <w:rsid w:val="037800D1"/>
    <w:rsid w:val="03C350C4"/>
    <w:rsid w:val="03D57626"/>
    <w:rsid w:val="040C0819"/>
    <w:rsid w:val="04F046E1"/>
    <w:rsid w:val="05047743"/>
    <w:rsid w:val="053D69A3"/>
    <w:rsid w:val="057E74F5"/>
    <w:rsid w:val="058368B9"/>
    <w:rsid w:val="06513FEA"/>
    <w:rsid w:val="06E4782C"/>
    <w:rsid w:val="07285008"/>
    <w:rsid w:val="076F0EC5"/>
    <w:rsid w:val="087846CF"/>
    <w:rsid w:val="089F1C5C"/>
    <w:rsid w:val="09017BFF"/>
    <w:rsid w:val="092E7896"/>
    <w:rsid w:val="09322AD0"/>
    <w:rsid w:val="0A4505E1"/>
    <w:rsid w:val="0B077918"/>
    <w:rsid w:val="0B460AB5"/>
    <w:rsid w:val="0BBC62A5"/>
    <w:rsid w:val="0C590374"/>
    <w:rsid w:val="0CC2416B"/>
    <w:rsid w:val="0CF4642C"/>
    <w:rsid w:val="0D0F7855"/>
    <w:rsid w:val="0D4728C2"/>
    <w:rsid w:val="0D7F15FF"/>
    <w:rsid w:val="0D847672"/>
    <w:rsid w:val="0DFA7935"/>
    <w:rsid w:val="0E5B6625"/>
    <w:rsid w:val="0F4C6A04"/>
    <w:rsid w:val="0F67724C"/>
    <w:rsid w:val="0F76748F"/>
    <w:rsid w:val="0F8C6A79"/>
    <w:rsid w:val="0FA20284"/>
    <w:rsid w:val="0FB71F81"/>
    <w:rsid w:val="10DD77C5"/>
    <w:rsid w:val="10E40775"/>
    <w:rsid w:val="137C646B"/>
    <w:rsid w:val="13CC755E"/>
    <w:rsid w:val="13DE1425"/>
    <w:rsid w:val="13EB044B"/>
    <w:rsid w:val="147E4E1C"/>
    <w:rsid w:val="14BD74EF"/>
    <w:rsid w:val="162D2011"/>
    <w:rsid w:val="163C4C29"/>
    <w:rsid w:val="165322D8"/>
    <w:rsid w:val="16C805D0"/>
    <w:rsid w:val="17887D5F"/>
    <w:rsid w:val="180A7C2D"/>
    <w:rsid w:val="18BF3C55"/>
    <w:rsid w:val="18D25736"/>
    <w:rsid w:val="18E84F59"/>
    <w:rsid w:val="19996254"/>
    <w:rsid w:val="19A25DDB"/>
    <w:rsid w:val="19DB686C"/>
    <w:rsid w:val="19E0005A"/>
    <w:rsid w:val="1A047E1B"/>
    <w:rsid w:val="1A4D092A"/>
    <w:rsid w:val="1A683607"/>
    <w:rsid w:val="1A997D27"/>
    <w:rsid w:val="1AC01CEF"/>
    <w:rsid w:val="1B2B3823"/>
    <w:rsid w:val="1B5D6770"/>
    <w:rsid w:val="1B824783"/>
    <w:rsid w:val="1C44694B"/>
    <w:rsid w:val="1D5F5A06"/>
    <w:rsid w:val="1D6B6159"/>
    <w:rsid w:val="1EAD7F98"/>
    <w:rsid w:val="1ECE2195"/>
    <w:rsid w:val="1FBB33C8"/>
    <w:rsid w:val="200B2904"/>
    <w:rsid w:val="200F101E"/>
    <w:rsid w:val="212C055E"/>
    <w:rsid w:val="21C83B7A"/>
    <w:rsid w:val="2265586D"/>
    <w:rsid w:val="23137077"/>
    <w:rsid w:val="23160915"/>
    <w:rsid w:val="23A6613D"/>
    <w:rsid w:val="23FC3FAF"/>
    <w:rsid w:val="244B45EE"/>
    <w:rsid w:val="24704055"/>
    <w:rsid w:val="257D2ECD"/>
    <w:rsid w:val="26280F66"/>
    <w:rsid w:val="276D1523"/>
    <w:rsid w:val="27983FEE"/>
    <w:rsid w:val="27C114D7"/>
    <w:rsid w:val="27D946EC"/>
    <w:rsid w:val="281D44F4"/>
    <w:rsid w:val="289B5D70"/>
    <w:rsid w:val="28D64DCE"/>
    <w:rsid w:val="293A760F"/>
    <w:rsid w:val="29FE5DEB"/>
    <w:rsid w:val="2A3C0C1D"/>
    <w:rsid w:val="2ADF4094"/>
    <w:rsid w:val="2AE62058"/>
    <w:rsid w:val="2B3B53BD"/>
    <w:rsid w:val="2B8925CC"/>
    <w:rsid w:val="2C6A4E0E"/>
    <w:rsid w:val="2C793E90"/>
    <w:rsid w:val="2D9B0395"/>
    <w:rsid w:val="2DF67CC1"/>
    <w:rsid w:val="2E1F2D74"/>
    <w:rsid w:val="2E4722CA"/>
    <w:rsid w:val="2E47471E"/>
    <w:rsid w:val="2ED703CE"/>
    <w:rsid w:val="2EF57F78"/>
    <w:rsid w:val="2F996B56"/>
    <w:rsid w:val="2FBA3766"/>
    <w:rsid w:val="2FDC6A42"/>
    <w:rsid w:val="2FEC3FAC"/>
    <w:rsid w:val="30BC0D4E"/>
    <w:rsid w:val="30F57DBC"/>
    <w:rsid w:val="311F12DD"/>
    <w:rsid w:val="314A45AB"/>
    <w:rsid w:val="318D26EA"/>
    <w:rsid w:val="319121DA"/>
    <w:rsid w:val="31D16134"/>
    <w:rsid w:val="323963CE"/>
    <w:rsid w:val="326351F9"/>
    <w:rsid w:val="3267118D"/>
    <w:rsid w:val="328C17F4"/>
    <w:rsid w:val="32A221C5"/>
    <w:rsid w:val="3344502A"/>
    <w:rsid w:val="33FB393B"/>
    <w:rsid w:val="34126F65"/>
    <w:rsid w:val="34362BC5"/>
    <w:rsid w:val="35892CAD"/>
    <w:rsid w:val="35C36E02"/>
    <w:rsid w:val="35F121BB"/>
    <w:rsid w:val="36174C78"/>
    <w:rsid w:val="36315D01"/>
    <w:rsid w:val="36EC3A0F"/>
    <w:rsid w:val="3744384B"/>
    <w:rsid w:val="375E3F3C"/>
    <w:rsid w:val="37C8447C"/>
    <w:rsid w:val="37CC1F8F"/>
    <w:rsid w:val="383B4C4E"/>
    <w:rsid w:val="39537D75"/>
    <w:rsid w:val="398148C2"/>
    <w:rsid w:val="39E135D3"/>
    <w:rsid w:val="3B3D6F2F"/>
    <w:rsid w:val="3B573127"/>
    <w:rsid w:val="3B6C3370"/>
    <w:rsid w:val="3C19394A"/>
    <w:rsid w:val="3C9B4C94"/>
    <w:rsid w:val="3CA32DC2"/>
    <w:rsid w:val="3DBC0A00"/>
    <w:rsid w:val="3E412892"/>
    <w:rsid w:val="3E522CF1"/>
    <w:rsid w:val="3E8D5AD7"/>
    <w:rsid w:val="3FAA090B"/>
    <w:rsid w:val="40253294"/>
    <w:rsid w:val="40275AB8"/>
    <w:rsid w:val="40437C92"/>
    <w:rsid w:val="40D36D83"/>
    <w:rsid w:val="410A340F"/>
    <w:rsid w:val="421D3616"/>
    <w:rsid w:val="423D15C3"/>
    <w:rsid w:val="436F1C50"/>
    <w:rsid w:val="444035EC"/>
    <w:rsid w:val="445D5F4C"/>
    <w:rsid w:val="457107D5"/>
    <w:rsid w:val="46B7185F"/>
    <w:rsid w:val="46F012F9"/>
    <w:rsid w:val="4712301E"/>
    <w:rsid w:val="4734568A"/>
    <w:rsid w:val="473D3E13"/>
    <w:rsid w:val="4770243A"/>
    <w:rsid w:val="47E26E94"/>
    <w:rsid w:val="48561630"/>
    <w:rsid w:val="486C49B0"/>
    <w:rsid w:val="488654AC"/>
    <w:rsid w:val="49221512"/>
    <w:rsid w:val="492B6619"/>
    <w:rsid w:val="4A404346"/>
    <w:rsid w:val="4A7E049A"/>
    <w:rsid w:val="4B4734B2"/>
    <w:rsid w:val="4BAF3531"/>
    <w:rsid w:val="4C4719BC"/>
    <w:rsid w:val="4C4D4AF8"/>
    <w:rsid w:val="4C714C8A"/>
    <w:rsid w:val="4CF667B0"/>
    <w:rsid w:val="4D5E3588"/>
    <w:rsid w:val="4E4740FD"/>
    <w:rsid w:val="4E850151"/>
    <w:rsid w:val="4EE23C1E"/>
    <w:rsid w:val="4EEE10D1"/>
    <w:rsid w:val="4F053468"/>
    <w:rsid w:val="4F4641AC"/>
    <w:rsid w:val="504B134F"/>
    <w:rsid w:val="51DA0BDC"/>
    <w:rsid w:val="52A80CDA"/>
    <w:rsid w:val="52CF0BA4"/>
    <w:rsid w:val="52E64A7C"/>
    <w:rsid w:val="5338205E"/>
    <w:rsid w:val="53C25DCC"/>
    <w:rsid w:val="54001C18"/>
    <w:rsid w:val="54161C73"/>
    <w:rsid w:val="54D062C6"/>
    <w:rsid w:val="55F20CD2"/>
    <w:rsid w:val="562B7C58"/>
    <w:rsid w:val="562C6A7A"/>
    <w:rsid w:val="56ED7603"/>
    <w:rsid w:val="575E7207"/>
    <w:rsid w:val="578C2978"/>
    <w:rsid w:val="57A31A70"/>
    <w:rsid w:val="58112E7E"/>
    <w:rsid w:val="58170B05"/>
    <w:rsid w:val="58C93758"/>
    <w:rsid w:val="58D731AB"/>
    <w:rsid w:val="59232E69"/>
    <w:rsid w:val="5923730C"/>
    <w:rsid w:val="59253085"/>
    <w:rsid w:val="5926603E"/>
    <w:rsid w:val="593626CC"/>
    <w:rsid w:val="59407EBE"/>
    <w:rsid w:val="594D2C87"/>
    <w:rsid w:val="59EC76FE"/>
    <w:rsid w:val="5A0A04CC"/>
    <w:rsid w:val="5A1117CC"/>
    <w:rsid w:val="5A304D64"/>
    <w:rsid w:val="5A90452E"/>
    <w:rsid w:val="5AE76118"/>
    <w:rsid w:val="5B22216E"/>
    <w:rsid w:val="5BB24652"/>
    <w:rsid w:val="5BE32D83"/>
    <w:rsid w:val="5CC1284A"/>
    <w:rsid w:val="5CCC3817"/>
    <w:rsid w:val="5D443BA8"/>
    <w:rsid w:val="5D4D29A0"/>
    <w:rsid w:val="5D877F66"/>
    <w:rsid w:val="5D8D2FA6"/>
    <w:rsid w:val="5DBE5856"/>
    <w:rsid w:val="5E247B30"/>
    <w:rsid w:val="5EC842DB"/>
    <w:rsid w:val="5EDD371B"/>
    <w:rsid w:val="5F7F2C84"/>
    <w:rsid w:val="60186131"/>
    <w:rsid w:val="602846D7"/>
    <w:rsid w:val="606D7F21"/>
    <w:rsid w:val="60E92BEA"/>
    <w:rsid w:val="60F31CBA"/>
    <w:rsid w:val="614B60DF"/>
    <w:rsid w:val="62944DD7"/>
    <w:rsid w:val="632F68AE"/>
    <w:rsid w:val="63C96D02"/>
    <w:rsid w:val="63FE69AC"/>
    <w:rsid w:val="6415352B"/>
    <w:rsid w:val="645B2050"/>
    <w:rsid w:val="649B5D16"/>
    <w:rsid w:val="65CB0B10"/>
    <w:rsid w:val="66154481"/>
    <w:rsid w:val="66862C89"/>
    <w:rsid w:val="66903B07"/>
    <w:rsid w:val="66CA2093"/>
    <w:rsid w:val="67D143D7"/>
    <w:rsid w:val="67D30F67"/>
    <w:rsid w:val="68B166E3"/>
    <w:rsid w:val="68CE26AC"/>
    <w:rsid w:val="690D143F"/>
    <w:rsid w:val="69180510"/>
    <w:rsid w:val="691B590A"/>
    <w:rsid w:val="69787200"/>
    <w:rsid w:val="69F055C0"/>
    <w:rsid w:val="69FE264C"/>
    <w:rsid w:val="6A116D0D"/>
    <w:rsid w:val="6A2829D5"/>
    <w:rsid w:val="6B543355"/>
    <w:rsid w:val="6BE96194"/>
    <w:rsid w:val="6D4A4A10"/>
    <w:rsid w:val="6DAA54AF"/>
    <w:rsid w:val="6DD24A05"/>
    <w:rsid w:val="6E1D0376"/>
    <w:rsid w:val="6EBA5BC5"/>
    <w:rsid w:val="6EC10845"/>
    <w:rsid w:val="6F000B12"/>
    <w:rsid w:val="6FCA1E38"/>
    <w:rsid w:val="6FD26F3F"/>
    <w:rsid w:val="702B1403"/>
    <w:rsid w:val="70480FAF"/>
    <w:rsid w:val="709F32C5"/>
    <w:rsid w:val="70B40B9F"/>
    <w:rsid w:val="710B44B6"/>
    <w:rsid w:val="71436346"/>
    <w:rsid w:val="719A30C3"/>
    <w:rsid w:val="71B43907"/>
    <w:rsid w:val="728A707F"/>
    <w:rsid w:val="72A90315"/>
    <w:rsid w:val="72CC4119"/>
    <w:rsid w:val="73102FAB"/>
    <w:rsid w:val="7318110C"/>
    <w:rsid w:val="73A17354"/>
    <w:rsid w:val="73CE14E9"/>
    <w:rsid w:val="746F3105"/>
    <w:rsid w:val="74744A68"/>
    <w:rsid w:val="74B102BE"/>
    <w:rsid w:val="75DA6D88"/>
    <w:rsid w:val="763915C4"/>
    <w:rsid w:val="770245AD"/>
    <w:rsid w:val="777F79AC"/>
    <w:rsid w:val="77846D70"/>
    <w:rsid w:val="77BE04D4"/>
    <w:rsid w:val="78B16588"/>
    <w:rsid w:val="78BB4A14"/>
    <w:rsid w:val="78C80EDF"/>
    <w:rsid w:val="78E201F2"/>
    <w:rsid w:val="79C93160"/>
    <w:rsid w:val="7B51755A"/>
    <w:rsid w:val="7B607AF4"/>
    <w:rsid w:val="7B9C6F77"/>
    <w:rsid w:val="7C5B3572"/>
    <w:rsid w:val="7C6929D9"/>
    <w:rsid w:val="7CB2612E"/>
    <w:rsid w:val="7CB9570E"/>
    <w:rsid w:val="7CC16F6B"/>
    <w:rsid w:val="7CCB71F0"/>
    <w:rsid w:val="7CDA4A22"/>
    <w:rsid w:val="7DAC0DCF"/>
    <w:rsid w:val="7DB60C46"/>
    <w:rsid w:val="7DC91B56"/>
    <w:rsid w:val="7DDD542C"/>
    <w:rsid w:val="7DED1B13"/>
    <w:rsid w:val="7E0B1F99"/>
    <w:rsid w:val="7E21356B"/>
    <w:rsid w:val="7E577ED5"/>
    <w:rsid w:val="7E713629"/>
    <w:rsid w:val="7EB8044E"/>
    <w:rsid w:val="7F3217A8"/>
    <w:rsid w:val="7F6B6C00"/>
    <w:rsid w:val="7FA36202"/>
    <w:rsid w:val="7FB65F35"/>
    <w:rsid w:val="7FC40652"/>
    <w:rsid w:val="7FDA7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Cambria" w:hAnsi="Cambria"/>
      <w:b/>
      <w:sz w:val="32"/>
      <w:szCs w:val="32"/>
    </w:rPr>
  </w:style>
  <w:style w:type="paragraph" w:styleId="3">
    <w:name w:val="heading 4"/>
    <w:basedOn w:val="1"/>
    <w:next w:val="1"/>
    <w:qFormat/>
    <w:uiPriority w:val="99"/>
    <w:pPr>
      <w:keepNext/>
      <w:keepLines/>
      <w:spacing w:before="280" w:after="290" w:line="376" w:lineRule="auto"/>
      <w:outlineLvl w:val="3"/>
    </w:pPr>
    <w:rPr>
      <w:rFonts w:ascii="Calibri Light" w:hAnsi="Calibri Light" w:eastAsia="宋体" w:cs="Times New Roman"/>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3"/>
    <w:qFormat/>
    <w:uiPriority w:val="99"/>
    <w:pPr>
      <w:widowControl w:val="0"/>
      <w:jc w:val="both"/>
    </w:pPr>
    <w:rPr>
      <w:rFonts w:ascii="Arial" w:hAnsiTheme="minorHAnsi" w:eastAsiaTheme="minorEastAsia" w:cstheme="minorBidi"/>
      <w:kern w:val="2"/>
      <w:sz w:val="24"/>
      <w:szCs w:val="20"/>
      <w:lang w:val="en-US" w:eastAsia="zh-CN" w:bidi="ar-SA"/>
    </w:rPr>
  </w:style>
  <w:style w:type="paragraph" w:styleId="6">
    <w:name w:val="Body Text"/>
    <w:basedOn w:val="1"/>
    <w:qFormat/>
    <w:uiPriority w:val="0"/>
  </w:style>
  <w:style w:type="paragraph" w:styleId="7">
    <w:name w:val="Body Text Indent"/>
    <w:basedOn w:val="1"/>
    <w:qFormat/>
    <w:uiPriority w:val="0"/>
    <w:pPr>
      <w:ind w:left="360" w:firstLine="420" w:firstLineChars="150"/>
    </w:pPr>
    <w:rPr>
      <w:rFonts w:hint="eastAsia" w:ascii="仿宋_GB2312" w:eastAsia="仿宋_GB2312"/>
      <w:sz w:val="24"/>
      <w:szCs w:val="24"/>
    </w:rPr>
  </w:style>
  <w:style w:type="paragraph" w:styleId="8">
    <w:name w:val="Plain Text"/>
    <w:basedOn w:val="1"/>
    <w:next w:val="3"/>
    <w:qFormat/>
    <w:uiPriority w:val="99"/>
    <w:rPr>
      <w:rFonts w:ascii="宋体" w:hAnsi="Courier New" w:cs="Courier New"/>
      <w:szCs w:val="21"/>
    </w:rPr>
  </w:style>
  <w:style w:type="paragraph" w:styleId="9">
    <w:name w:val="footer"/>
    <w:basedOn w:val="1"/>
    <w:next w:val="6"/>
    <w:qFormat/>
    <w:uiPriority w:val="0"/>
    <w:pPr>
      <w:tabs>
        <w:tab w:val="center" w:pos="4153"/>
        <w:tab w:val="right" w:pos="8306"/>
      </w:tabs>
      <w:snapToGrid w:val="0"/>
      <w:jc w:val="left"/>
    </w:pPr>
    <w:rPr>
      <w:sz w:val="18"/>
    </w:rPr>
  </w:style>
  <w:style w:type="paragraph" w:styleId="10">
    <w:name w:val="header"/>
    <w:basedOn w:val="1"/>
    <w:next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6"/>
    <w:qFormat/>
    <w:uiPriority w:val="0"/>
  </w:style>
  <w:style w:type="paragraph" w:styleId="12">
    <w:name w:val="Subtitle"/>
    <w:basedOn w:val="1"/>
    <w:next w:val="1"/>
    <w:qFormat/>
    <w:uiPriority w:val="99"/>
    <w:pPr>
      <w:widowControl/>
      <w:spacing w:after="560"/>
      <w:jc w:val="center"/>
    </w:pPr>
    <w:rPr>
      <w:rFonts w:ascii="Cambria" w:hAnsi="Cambria"/>
      <w:caps/>
      <w:spacing w:val="20"/>
      <w:kern w:val="0"/>
      <w:sz w:val="18"/>
      <w:szCs w:val="18"/>
    </w:rPr>
  </w:style>
  <w:style w:type="paragraph" w:styleId="13">
    <w:name w:val="Body Text First Indent"/>
    <w:basedOn w:val="6"/>
    <w:qFormat/>
    <w:uiPriority w:val="0"/>
    <w:pPr>
      <w:ind w:firstLine="420" w:firstLineChars="1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正文 New New New New New New New New New New New New New New New New New New New New New New New New New New New New New New New New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9">
    <w:name w:val="font31"/>
    <w:basedOn w:val="16"/>
    <w:qFormat/>
    <w:uiPriority w:val="0"/>
    <w:rPr>
      <w:rFonts w:ascii="方正仿宋_GBK" w:hAnsi="方正仿宋_GBK" w:eastAsia="方正仿宋_GBK" w:cs="方正仿宋_GBK"/>
      <w:color w:val="000000"/>
      <w:sz w:val="20"/>
      <w:szCs w:val="20"/>
      <w:u w:val="none"/>
    </w:rPr>
  </w:style>
  <w:style w:type="character" w:customStyle="1" w:styleId="20">
    <w:name w:val="font41"/>
    <w:basedOn w:val="16"/>
    <w:qFormat/>
    <w:uiPriority w:val="0"/>
    <w:rPr>
      <w:rFonts w:hint="eastAsia" w:ascii="方正仿宋_GBK" w:hAnsi="方正仿宋_GBK" w:eastAsia="方正仿宋_GBK" w:cs="方正仿宋_GBK"/>
      <w:color w:val="000000"/>
      <w:sz w:val="18"/>
      <w:szCs w:val="18"/>
      <w:u w:val="none"/>
    </w:rPr>
  </w:style>
  <w:style w:type="character" w:customStyle="1" w:styleId="21">
    <w:name w:val="font51"/>
    <w:basedOn w:val="16"/>
    <w:qFormat/>
    <w:uiPriority w:val="0"/>
    <w:rPr>
      <w:rFonts w:hint="default" w:ascii="Times New Roman" w:hAnsi="Times New Roman" w:cs="Times New Roman"/>
      <w:color w:val="000000"/>
      <w:sz w:val="18"/>
      <w:szCs w:val="18"/>
      <w:u w:val="none"/>
      <w:vertAlign w:val="superscript"/>
    </w:rPr>
  </w:style>
  <w:style w:type="character" w:customStyle="1" w:styleId="22">
    <w:name w:val="font21"/>
    <w:basedOn w:val="16"/>
    <w:qFormat/>
    <w:uiPriority w:val="0"/>
    <w:rPr>
      <w:rFonts w:hint="default" w:ascii="Times New Roman" w:hAnsi="Times New Roman" w:cs="Times New Roman"/>
      <w:color w:val="000000"/>
      <w:sz w:val="18"/>
      <w:szCs w:val="18"/>
      <w:u w:val="none"/>
    </w:rPr>
  </w:style>
  <w:style w:type="character" w:customStyle="1" w:styleId="23">
    <w:name w:val="font61"/>
    <w:basedOn w:val="16"/>
    <w:qFormat/>
    <w:uiPriority w:val="0"/>
    <w:rPr>
      <w:rFonts w:hint="default" w:ascii="Times New Roman" w:hAnsi="Times New Roman" w:cs="Times New Roman"/>
      <w:color w:val="000000"/>
      <w:sz w:val="20"/>
      <w:szCs w:val="20"/>
      <w:u w:val="none"/>
      <w:vertAlign w:val="superscript"/>
    </w:rPr>
  </w:style>
  <w:style w:type="character" w:customStyle="1" w:styleId="24">
    <w:name w:val="font11"/>
    <w:basedOn w:val="16"/>
    <w:qFormat/>
    <w:uiPriority w:val="0"/>
    <w:rPr>
      <w:rFonts w:hint="default" w:ascii="Times New Roman" w:hAnsi="Times New Roman" w:cs="Times New Roman"/>
      <w:color w:val="000000"/>
      <w:sz w:val="20"/>
      <w:szCs w:val="20"/>
      <w:u w:val="none"/>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4118</Words>
  <Characters>4408</Characters>
  <Lines>0</Lines>
  <Paragraphs>0</Paragraphs>
  <TotalTime>14</TotalTime>
  <ScaleCrop>false</ScaleCrop>
  <LinksUpToDate>false</LinksUpToDate>
  <CharactersWithSpaces>4679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2025-02-07T07:17:00Z</dcterms:created>
  <dc:creator>阴LY影</dc:creator>
  <cp:lastModifiedBy>娇</cp:lastModifiedBy>
  <cp:lastPrinted>2026-09-15T09:05:00Z</cp:lastPrinted>
  <dcterms:modified xsi:type="dcterms:W3CDTF">2026-09-22T04:05:44Z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eyJoZGlkIjoiNDYyMmQ5N2U1NTM3NTMxMGQ1YzdhMjYyMzAxNzA4ZDYiLCJ1c2VySWQiOiIzNDY5Mzg3MDUifQ==</vt:lpwstr>
  </property>
  <property fmtid="{D5CDD505-2E9C-101B-9397-08002B2CF9AE}" pid="4" name="ICV">
    <vt:lpwstr>D79FDA3AF6AC4B0F9FF9E42D15CAC1F9_13</vt:lpwstr>
  </property>
</Properties>
</file>