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57F1C">
      <w:pPr>
        <w:spacing w:line="576" w:lineRule="exact"/>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附件1</w:t>
      </w:r>
    </w:p>
    <w:p w14:paraId="7E713909">
      <w:pPr>
        <w:spacing w:line="576" w:lineRule="exact"/>
        <w:rPr>
          <w:rFonts w:hint="eastAsia" w:ascii="仿宋_GB2312" w:hAnsi="仿宋_GB2312" w:eastAsia="仿宋_GB2312" w:cs="仿宋_GB2312"/>
          <w:sz w:val="32"/>
        </w:rPr>
      </w:pPr>
    </w:p>
    <w:p w14:paraId="243175FF">
      <w:pPr>
        <w:keepNext/>
        <w:keepLines/>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拉萨市“十五五”用水总量及用水强度</w:t>
      </w:r>
    </w:p>
    <w:p w14:paraId="5C5A94A0">
      <w:pPr>
        <w:keepNext/>
        <w:keepLines/>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指标分解工作方案编制单位</w:t>
      </w:r>
    </w:p>
    <w:p w14:paraId="56359DA4">
      <w:pPr>
        <w:pStyle w:val="5"/>
        <w:autoSpaceDE/>
        <w:adjustRightInd/>
        <w:spacing w:after="0" w:line="576" w:lineRule="exact"/>
        <w:jc w:val="center"/>
        <w:rPr>
          <w:rFonts w:hint="eastAsia" w:ascii="仿宋" w:hAnsi="仿宋" w:eastAsia="仿宋" w:cs="仿宋"/>
          <w:sz w:val="32"/>
          <w:szCs w:val="32"/>
        </w:rPr>
      </w:pPr>
    </w:p>
    <w:p w14:paraId="5E0392CC">
      <w:pPr>
        <w:wordWrap w:val="0"/>
        <w:spacing w:line="360" w:lineRule="auto"/>
        <w:rPr>
          <w:rFonts w:hint="eastAsia" w:ascii="黑体" w:hAnsi="黑体" w:eastAsia="黑体" w:cs="黑体"/>
          <w:bCs/>
          <w:sz w:val="72"/>
          <w:szCs w:val="72"/>
        </w:rPr>
      </w:pPr>
    </w:p>
    <w:p w14:paraId="0E842519">
      <w:pPr>
        <w:wordWrap w:val="0"/>
        <w:spacing w:line="360" w:lineRule="auto"/>
        <w:jc w:val="center"/>
        <w:rPr>
          <w:rFonts w:hint="eastAsia" w:ascii="黑体" w:hAnsi="黑体" w:eastAsia="黑体" w:cs="黑体"/>
          <w:bCs/>
          <w:sz w:val="72"/>
          <w:szCs w:val="72"/>
        </w:rPr>
      </w:pPr>
      <w:r>
        <w:rPr>
          <w:rFonts w:hint="eastAsia" w:ascii="黑体" w:hAnsi="黑体" w:eastAsia="黑体" w:cs="黑体"/>
          <w:bCs/>
          <w:sz w:val="72"/>
          <w:szCs w:val="72"/>
        </w:rPr>
        <w:t>资格</w:t>
      </w:r>
    </w:p>
    <w:p w14:paraId="38546186">
      <w:pPr>
        <w:wordWrap w:val="0"/>
        <w:spacing w:line="360" w:lineRule="auto"/>
        <w:jc w:val="center"/>
        <w:rPr>
          <w:rFonts w:hint="eastAsia" w:ascii="黑体" w:hAnsi="黑体" w:eastAsia="黑体" w:cs="黑体"/>
          <w:bCs/>
          <w:sz w:val="72"/>
          <w:szCs w:val="72"/>
        </w:rPr>
      </w:pPr>
      <w:r>
        <w:rPr>
          <w:rFonts w:hint="eastAsia" w:ascii="黑体" w:hAnsi="黑体" w:eastAsia="黑体" w:cs="黑体"/>
          <w:bCs/>
          <w:sz w:val="72"/>
          <w:szCs w:val="72"/>
        </w:rPr>
        <w:t>审查</w:t>
      </w:r>
    </w:p>
    <w:p w14:paraId="44EC5DBF">
      <w:pPr>
        <w:wordWrap w:val="0"/>
        <w:spacing w:line="360" w:lineRule="auto"/>
        <w:jc w:val="center"/>
        <w:rPr>
          <w:rFonts w:hint="eastAsia" w:ascii="黑体" w:hAnsi="黑体" w:eastAsia="黑体" w:cs="黑体"/>
          <w:bCs/>
          <w:sz w:val="72"/>
          <w:szCs w:val="72"/>
        </w:rPr>
      </w:pPr>
      <w:r>
        <w:rPr>
          <w:rFonts w:hint="eastAsia" w:ascii="黑体" w:hAnsi="黑体" w:eastAsia="黑体" w:cs="黑体"/>
          <w:bCs/>
          <w:sz w:val="72"/>
          <w:szCs w:val="72"/>
        </w:rPr>
        <w:t>与综</w:t>
      </w:r>
    </w:p>
    <w:p w14:paraId="74671FB9">
      <w:pPr>
        <w:wordWrap w:val="0"/>
        <w:spacing w:line="360" w:lineRule="auto"/>
        <w:jc w:val="center"/>
        <w:rPr>
          <w:rFonts w:hint="eastAsia" w:ascii="黑体" w:hAnsi="黑体" w:eastAsia="黑体" w:cs="黑体"/>
          <w:bCs/>
          <w:sz w:val="72"/>
          <w:szCs w:val="72"/>
        </w:rPr>
      </w:pPr>
      <w:r>
        <w:rPr>
          <w:rFonts w:hint="eastAsia" w:ascii="黑体" w:hAnsi="黑体" w:eastAsia="黑体" w:cs="黑体"/>
          <w:bCs/>
          <w:sz w:val="72"/>
          <w:szCs w:val="72"/>
        </w:rPr>
        <w:t>合评</w:t>
      </w:r>
    </w:p>
    <w:p w14:paraId="43EA5BD0">
      <w:pPr>
        <w:wordWrap w:val="0"/>
        <w:spacing w:line="360" w:lineRule="auto"/>
        <w:jc w:val="center"/>
        <w:rPr>
          <w:rFonts w:hint="eastAsia" w:ascii="黑体" w:hAnsi="黑体" w:eastAsia="黑体" w:cs="黑体"/>
          <w:bCs/>
          <w:sz w:val="72"/>
          <w:szCs w:val="72"/>
        </w:rPr>
      </w:pPr>
      <w:r>
        <w:rPr>
          <w:rFonts w:hint="eastAsia" w:ascii="黑体" w:hAnsi="黑体" w:eastAsia="黑体" w:cs="黑体"/>
          <w:bCs/>
          <w:sz w:val="72"/>
          <w:szCs w:val="72"/>
        </w:rPr>
        <w:t>分表</w:t>
      </w:r>
    </w:p>
    <w:p w14:paraId="3521D10B">
      <w:pPr>
        <w:spacing w:line="576" w:lineRule="exact"/>
        <w:rPr>
          <w:rFonts w:hint="eastAsia" w:ascii="仿宋" w:hAnsi="仿宋" w:eastAsia="仿宋" w:cs="仿宋"/>
          <w:b/>
          <w:color w:val="000000"/>
          <w:sz w:val="30"/>
          <w:szCs w:val="30"/>
        </w:rPr>
      </w:pPr>
    </w:p>
    <w:p w14:paraId="35AF612C">
      <w:pPr>
        <w:spacing w:line="576" w:lineRule="exact"/>
        <w:ind w:firstLine="643" w:firstLineChars="200"/>
        <w:rPr>
          <w:rFonts w:hint="eastAsia" w:ascii="仿宋" w:hAnsi="仿宋" w:eastAsia="仿宋" w:cs="仿宋"/>
          <w:b/>
          <w:color w:val="000000"/>
          <w:sz w:val="32"/>
          <w:u w:val="single"/>
        </w:rPr>
      </w:pPr>
      <w:r>
        <w:rPr>
          <w:rFonts w:hint="eastAsia" w:ascii="仿宋" w:hAnsi="仿宋" w:eastAsia="仿宋" w:cs="仿宋"/>
          <w:b/>
          <w:color w:val="000000"/>
          <w:sz w:val="32"/>
        </w:rPr>
        <w:t>单位名称：</w:t>
      </w:r>
      <w:r>
        <w:rPr>
          <w:rFonts w:hint="eastAsia" w:ascii="仿宋" w:hAnsi="仿宋" w:eastAsia="仿宋" w:cs="仿宋"/>
          <w:b/>
          <w:color w:val="000000"/>
          <w:sz w:val="32"/>
          <w:u w:val="single"/>
        </w:rPr>
        <w:t xml:space="preserve">                              （盖章）</w:t>
      </w:r>
    </w:p>
    <w:p w14:paraId="2C9F6F85">
      <w:pPr>
        <w:spacing w:line="576" w:lineRule="exact"/>
        <w:ind w:firstLine="643" w:firstLineChars="200"/>
        <w:rPr>
          <w:rFonts w:hint="eastAsia" w:ascii="仿宋" w:hAnsi="仿宋" w:eastAsia="仿宋" w:cs="仿宋"/>
          <w:b/>
          <w:color w:val="000000"/>
          <w:sz w:val="32"/>
          <w:u w:val="single"/>
        </w:rPr>
      </w:pPr>
      <w:bookmarkStart w:id="0" w:name="_Toc16873"/>
      <w:bookmarkStart w:id="1" w:name="_Toc29091"/>
      <w:r>
        <w:rPr>
          <w:rFonts w:hint="eastAsia" w:ascii="仿宋" w:hAnsi="仿宋" w:eastAsia="仿宋" w:cs="仿宋"/>
          <w:b/>
          <w:color w:val="000000"/>
          <w:sz w:val="32"/>
        </w:rPr>
        <w:t>法定代表人或授权委托代理人：</w:t>
      </w:r>
      <w:r>
        <w:rPr>
          <w:rFonts w:hint="eastAsia" w:ascii="仿宋" w:hAnsi="仿宋" w:eastAsia="仿宋" w:cs="仿宋"/>
          <w:b/>
          <w:color w:val="000000"/>
          <w:sz w:val="32"/>
          <w:u w:val="single"/>
        </w:rPr>
        <w:t xml:space="preserve">        （签字或盖章）</w:t>
      </w:r>
      <w:bookmarkEnd w:id="0"/>
      <w:bookmarkEnd w:id="1"/>
    </w:p>
    <w:p w14:paraId="0E8BCC88">
      <w:pPr>
        <w:spacing w:line="576" w:lineRule="exact"/>
        <w:ind w:firstLine="643" w:firstLineChars="200"/>
        <w:rPr>
          <w:rFonts w:hint="eastAsia" w:ascii="仿宋" w:hAnsi="仿宋" w:eastAsia="仿宋" w:cs="仿宋"/>
          <w:b/>
          <w:color w:val="000000"/>
          <w:sz w:val="32"/>
          <w:u w:val="single"/>
        </w:rPr>
      </w:pPr>
      <w:r>
        <w:rPr>
          <w:rFonts w:hint="eastAsia" w:ascii="仿宋" w:hAnsi="仿宋" w:eastAsia="仿宋" w:cs="仿宋"/>
          <w:b/>
          <w:color w:val="000000"/>
          <w:sz w:val="32"/>
        </w:rPr>
        <w:t>联系电话：</w:t>
      </w:r>
      <w:r>
        <w:rPr>
          <w:rFonts w:hint="eastAsia" w:ascii="仿宋" w:hAnsi="仿宋" w:eastAsia="仿宋" w:cs="仿宋"/>
          <w:b/>
          <w:color w:val="000000"/>
          <w:sz w:val="32"/>
          <w:u w:val="single"/>
        </w:rPr>
        <w:t xml:space="preserve">                                      </w:t>
      </w:r>
    </w:p>
    <w:p w14:paraId="418CCE80">
      <w:pPr>
        <w:spacing w:line="576" w:lineRule="exact"/>
        <w:ind w:firstLine="643" w:firstLineChars="200"/>
        <w:rPr>
          <w:rFonts w:hint="eastAsia" w:ascii="仿宋" w:hAnsi="仿宋" w:eastAsia="仿宋" w:cs="仿宋"/>
          <w:b/>
          <w:color w:val="000000"/>
          <w:sz w:val="30"/>
          <w:szCs w:val="30"/>
        </w:rPr>
      </w:pPr>
      <w:r>
        <w:rPr>
          <w:rFonts w:hint="eastAsia" w:ascii="仿宋" w:hAnsi="仿宋" w:eastAsia="仿宋" w:cs="仿宋"/>
          <w:b/>
          <w:color w:val="000000"/>
          <w:sz w:val="32"/>
        </w:rPr>
        <w:t>日    期：</w:t>
      </w:r>
      <w:r>
        <w:rPr>
          <w:rFonts w:hint="eastAsia" w:ascii="仿宋" w:hAnsi="仿宋" w:eastAsia="仿宋" w:cs="仿宋"/>
          <w:b/>
          <w:color w:val="000000"/>
          <w:sz w:val="32"/>
          <w:u w:val="single"/>
        </w:rPr>
        <w:t xml:space="preserve">     </w:t>
      </w:r>
      <w:r>
        <w:rPr>
          <w:rFonts w:hint="eastAsia" w:ascii="仿宋" w:hAnsi="仿宋" w:eastAsia="仿宋" w:cs="仿宋"/>
          <w:b/>
          <w:color w:val="000000"/>
          <w:sz w:val="32"/>
        </w:rPr>
        <w:t>年</w:t>
      </w:r>
      <w:r>
        <w:rPr>
          <w:rFonts w:hint="eastAsia" w:ascii="仿宋" w:hAnsi="仿宋" w:eastAsia="仿宋" w:cs="仿宋"/>
          <w:b/>
          <w:color w:val="000000"/>
          <w:sz w:val="32"/>
          <w:u w:val="single"/>
        </w:rPr>
        <w:t xml:space="preserve">    </w:t>
      </w:r>
      <w:r>
        <w:rPr>
          <w:rFonts w:hint="eastAsia" w:ascii="仿宋" w:hAnsi="仿宋" w:eastAsia="仿宋" w:cs="仿宋"/>
          <w:b/>
          <w:color w:val="000000"/>
          <w:sz w:val="32"/>
        </w:rPr>
        <w:t>月</w:t>
      </w:r>
      <w:r>
        <w:rPr>
          <w:rFonts w:hint="eastAsia" w:ascii="仿宋" w:hAnsi="仿宋" w:eastAsia="仿宋" w:cs="仿宋"/>
          <w:b/>
          <w:color w:val="000000"/>
          <w:sz w:val="32"/>
          <w:u w:val="single"/>
        </w:rPr>
        <w:t xml:space="preserve">    </w:t>
      </w:r>
      <w:r>
        <w:rPr>
          <w:rFonts w:hint="eastAsia" w:ascii="仿宋" w:hAnsi="仿宋" w:eastAsia="仿宋" w:cs="仿宋"/>
          <w:b/>
          <w:color w:val="000000"/>
          <w:sz w:val="32"/>
        </w:rPr>
        <w:t>日</w:t>
      </w:r>
    </w:p>
    <w:p w14:paraId="6FDDE13A">
      <w:pPr>
        <w:widowControl/>
        <w:jc w:val="left"/>
        <w:rPr>
          <w:rStyle w:val="20"/>
          <w:rFonts w:ascii="黑体" w:hAnsi="黑体" w:eastAsia="黑体" w:cs="黑体"/>
          <w:b w:val="0"/>
          <w:bCs w:val="0"/>
          <w:szCs w:val="32"/>
        </w:rPr>
        <w:sectPr>
          <w:pgSz w:w="11906" w:h="16838"/>
          <w:pgMar w:top="1440" w:right="1800" w:bottom="1440" w:left="1800" w:header="851" w:footer="992" w:gutter="0"/>
          <w:pgNumType w:fmt="decimal" w:start="1"/>
          <w:cols w:space="720" w:num="1"/>
          <w:docGrid w:type="lines" w:linePitch="312" w:charSpace="0"/>
        </w:sectPr>
      </w:pPr>
    </w:p>
    <w:p w14:paraId="0E70D507">
      <w:pPr>
        <w:pStyle w:val="6"/>
        <w:shd w:val="clear"/>
        <w:autoSpaceDE/>
        <w:adjustRightInd/>
        <w:spacing w:line="576" w:lineRule="exact"/>
        <w:ind w:left="0" w:firstLine="0" w:firstLineChars="0"/>
        <w:jc w:val="center"/>
        <w:rPr>
          <w:rFonts w:hint="eastAsia" w:ascii="方正小标宋简体" w:hAnsi="方正小标宋简体" w:eastAsia="方正小标宋简体" w:cs="方正小标宋简体"/>
          <w:sz w:val="32"/>
          <w:szCs w:val="32"/>
          <w:shd w:val="clear" w:color="auto" w:fill="auto"/>
        </w:rPr>
      </w:pPr>
      <w:bookmarkStart w:id="2" w:name="_Toc16543"/>
      <w:bookmarkStart w:id="3" w:name="_Toc7214"/>
      <w:r>
        <w:rPr>
          <w:rFonts w:hint="eastAsia" w:ascii="方正小标宋简体" w:hAnsi="方正小标宋简体" w:eastAsia="方正小标宋简体" w:cs="方正小标宋简体"/>
          <w:sz w:val="32"/>
          <w:szCs w:val="32"/>
          <w:shd w:val="clear" w:color="auto" w:fill="auto"/>
        </w:rPr>
        <w:t>资格审查表</w:t>
      </w:r>
    </w:p>
    <w:tbl>
      <w:tblPr>
        <w:tblStyle w:val="13"/>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994"/>
        <w:gridCol w:w="6992"/>
      </w:tblGrid>
      <w:tr w14:paraId="360A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F350F1A">
            <w:pPr>
              <w:widowControl/>
              <w:shd w:val="clear"/>
              <w:autoSpaceDE w:val="0"/>
              <w:autoSpaceDN w:val="0"/>
              <w:adjustRightInd w:val="0"/>
              <w:spacing w:line="576" w:lineRule="exact"/>
              <w:jc w:val="center"/>
              <w:rPr>
                <w:rFonts w:ascii="方正仿宋_GBK" w:hAnsi="方正仿宋_GBK" w:eastAsia="方正仿宋_GBK" w:cs="方正仿宋_GBK"/>
                <w:sz w:val="24"/>
                <w:szCs w:val="24"/>
                <w:shd w:val="clear" w:color="auto" w:fill="auto"/>
              </w:rPr>
            </w:pPr>
            <w:r>
              <w:rPr>
                <w:rFonts w:hint="eastAsia" w:ascii="方正仿宋_GBK" w:hAnsi="方正仿宋_GBK" w:eastAsia="方正仿宋_GBK" w:cs="方正仿宋_GBK"/>
                <w:b/>
                <w:bCs/>
                <w:sz w:val="24"/>
                <w:shd w:val="clear" w:color="auto" w:fill="auto"/>
              </w:rPr>
              <w:t>资格要求</w:t>
            </w:r>
          </w:p>
        </w:tc>
      </w:tr>
      <w:tr w14:paraId="6316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5" w:hRule="atLeast"/>
          <w:jc w:val="center"/>
        </w:trPr>
        <w:tc>
          <w:tcPr>
            <w:tcW w:w="291" w:type="pct"/>
            <w:tcBorders>
              <w:top w:val="single" w:color="auto" w:sz="4" w:space="0"/>
              <w:left w:val="single" w:color="auto" w:sz="4" w:space="0"/>
              <w:bottom w:val="single" w:color="auto" w:sz="4" w:space="0"/>
              <w:right w:val="single" w:color="auto" w:sz="4" w:space="0"/>
            </w:tcBorders>
            <w:shd w:val="clear" w:color="auto" w:fill="FFFFFF"/>
            <w:vAlign w:val="center"/>
          </w:tcPr>
          <w:p w14:paraId="52990DF9">
            <w:pPr>
              <w:shd w:val="clear"/>
              <w:autoSpaceDN w:val="0"/>
              <w:spacing w:line="576" w:lineRule="exact"/>
              <w:jc w:val="center"/>
              <w:rPr>
                <w:rFonts w:ascii="方正仿宋_GBK" w:hAnsi="方正仿宋_GBK" w:eastAsia="方正仿宋_GBK" w:cs="方正仿宋_GBK"/>
                <w:sz w:val="24"/>
                <w:szCs w:val="24"/>
                <w:shd w:val="clear" w:color="auto" w:fill="auto"/>
              </w:rPr>
            </w:pPr>
            <w:r>
              <w:rPr>
                <w:rFonts w:hint="eastAsia" w:ascii="方正仿宋_GBK" w:hAnsi="方正仿宋_GBK" w:eastAsia="方正仿宋_GBK" w:cs="方正仿宋_GBK"/>
                <w:sz w:val="24"/>
                <w:shd w:val="clear" w:color="auto" w:fill="auto"/>
              </w:rPr>
              <w:t>1</w:t>
            </w:r>
          </w:p>
        </w:tc>
        <w:tc>
          <w:tcPr>
            <w:tcW w:w="586" w:type="pct"/>
            <w:tcBorders>
              <w:top w:val="single" w:color="auto" w:sz="4" w:space="0"/>
              <w:left w:val="single" w:color="auto" w:sz="4" w:space="0"/>
              <w:bottom w:val="single" w:color="auto" w:sz="4" w:space="0"/>
              <w:right w:val="single" w:color="auto" w:sz="4" w:space="0"/>
            </w:tcBorders>
            <w:shd w:val="clear" w:color="auto" w:fill="FFFFFF"/>
            <w:vAlign w:val="center"/>
          </w:tcPr>
          <w:p w14:paraId="7CD661A5">
            <w:pPr>
              <w:shd w:val="clear"/>
              <w:spacing w:line="576" w:lineRule="exact"/>
              <w:rPr>
                <w:rFonts w:ascii="方正仿宋_GBK" w:hAnsi="方正仿宋_GBK" w:eastAsia="方正仿宋_GBK" w:cs="方正仿宋_GBK"/>
                <w:sz w:val="24"/>
                <w:szCs w:val="24"/>
                <w:shd w:val="clear" w:color="auto" w:fill="auto"/>
              </w:rPr>
            </w:pPr>
            <w:r>
              <w:rPr>
                <w:rFonts w:hint="eastAsia" w:ascii="方正仿宋_GBK" w:hAnsi="方正仿宋_GBK" w:eastAsia="方正仿宋_GBK" w:cs="方正仿宋_GBK"/>
                <w:sz w:val="24"/>
                <w:shd w:val="clear" w:color="auto" w:fill="auto"/>
              </w:rPr>
              <w:t>资格</w:t>
            </w:r>
          </w:p>
          <w:p w14:paraId="3A17568E">
            <w:pPr>
              <w:shd w:val="clear"/>
              <w:autoSpaceDN w:val="0"/>
              <w:spacing w:line="576" w:lineRule="exact"/>
              <w:rPr>
                <w:rFonts w:ascii="方正仿宋_GBK" w:hAnsi="方正仿宋_GBK" w:eastAsia="方正仿宋_GBK" w:cs="方正仿宋_GBK"/>
                <w:sz w:val="24"/>
                <w:szCs w:val="24"/>
                <w:shd w:val="clear" w:color="auto" w:fill="auto"/>
              </w:rPr>
            </w:pPr>
            <w:r>
              <w:rPr>
                <w:rFonts w:hint="eastAsia" w:ascii="方正仿宋_GBK" w:hAnsi="方正仿宋_GBK" w:eastAsia="方正仿宋_GBK" w:cs="方正仿宋_GBK"/>
                <w:sz w:val="24"/>
                <w:shd w:val="clear" w:color="auto" w:fill="auto"/>
              </w:rPr>
              <w:t>审查</w:t>
            </w:r>
          </w:p>
        </w:tc>
        <w:tc>
          <w:tcPr>
            <w:tcW w:w="4121" w:type="pct"/>
            <w:tcBorders>
              <w:top w:val="single" w:color="auto" w:sz="4" w:space="0"/>
              <w:left w:val="single" w:color="auto" w:sz="4" w:space="0"/>
              <w:bottom w:val="single" w:color="auto" w:sz="4" w:space="0"/>
              <w:right w:val="single" w:color="auto" w:sz="4" w:space="0"/>
            </w:tcBorders>
            <w:shd w:val="clear" w:color="auto" w:fill="FFFFFF"/>
            <w:vAlign w:val="center"/>
          </w:tcPr>
          <w:p w14:paraId="0153A53E">
            <w:pPr>
              <w:keepNext w:val="0"/>
              <w:keepLines w:val="0"/>
              <w:pageBreakBefore w:val="0"/>
              <w:widowControl/>
              <w:shd w:val="clear"/>
              <w:kinsoku/>
              <w:wordWrap/>
              <w:overflowPunct/>
              <w:topLinePunct w:val="0"/>
              <w:autoSpaceDE/>
              <w:bidi w:val="0"/>
              <w:adjustRightInd/>
              <w:snapToGrid/>
              <w:spacing w:line="400" w:lineRule="exact"/>
              <w:ind w:firstLine="482" w:firstLineChars="200"/>
              <w:textAlignment w:val="auto"/>
              <w:rPr>
                <w:rFonts w:ascii="仿宋" w:hAnsi="仿宋" w:eastAsia="仿宋" w:cs="仿宋"/>
                <w:bCs/>
                <w:sz w:val="24"/>
                <w:szCs w:val="24"/>
                <w:shd w:val="clear" w:color="auto" w:fill="auto"/>
              </w:rPr>
            </w:pPr>
            <w:r>
              <w:rPr>
                <w:rFonts w:hint="eastAsia" w:ascii="仿宋" w:hAnsi="仿宋" w:eastAsia="仿宋" w:cs="仿宋"/>
                <w:b/>
                <w:sz w:val="24"/>
                <w:shd w:val="clear" w:color="auto" w:fill="auto"/>
              </w:rPr>
              <w:t>1.具有独立承担民事责任的能力；</w:t>
            </w:r>
            <w:r>
              <w:rPr>
                <w:rFonts w:hint="eastAsia" w:ascii="仿宋" w:hAnsi="仿宋" w:eastAsia="仿宋" w:cs="仿宋"/>
                <w:bCs/>
                <w:sz w:val="24"/>
                <w:shd w:val="clear" w:color="auto" w:fill="auto"/>
              </w:rPr>
              <w:t>（供应商需是法人、其他组织或自然人，需提供工商部门注册的有效的营业执照或事业单位单位法人证书或自然人身份证明等</w:t>
            </w:r>
            <w:r>
              <w:rPr>
                <w:rFonts w:hint="eastAsia" w:ascii="仿宋" w:hAnsi="仿宋" w:eastAsia="仿宋" w:cs="仿宋"/>
                <w:bCs/>
                <w:sz w:val="24"/>
                <w:shd w:val="clear" w:color="auto" w:fill="auto"/>
                <w:lang w:eastAsia="zh-CN"/>
              </w:rPr>
              <w:t>，</w:t>
            </w:r>
            <w:r>
              <w:rPr>
                <w:rFonts w:hint="eastAsia" w:ascii="仿宋" w:hAnsi="仿宋" w:eastAsia="仿宋" w:cs="仿宋"/>
                <w:bCs/>
                <w:sz w:val="24"/>
                <w:shd w:val="clear" w:color="auto" w:fill="auto"/>
              </w:rPr>
              <w:t>复印件须加盖单位公章）。</w:t>
            </w:r>
          </w:p>
          <w:p w14:paraId="620F2232">
            <w:pPr>
              <w:pStyle w:val="6"/>
              <w:keepNext w:val="0"/>
              <w:keepLines w:val="0"/>
              <w:pageBreakBefore w:val="0"/>
              <w:shd w:val="clear"/>
              <w:kinsoku/>
              <w:wordWrap/>
              <w:overflowPunct/>
              <w:topLinePunct w:val="0"/>
              <w:autoSpaceDE/>
              <w:bidi w:val="0"/>
              <w:adjustRightInd/>
              <w:snapToGrid/>
              <w:spacing w:line="400" w:lineRule="exact"/>
              <w:ind w:left="0" w:firstLine="482" w:firstLineChars="200"/>
              <w:textAlignment w:val="auto"/>
              <w:rPr>
                <w:rFonts w:hint="eastAsia" w:ascii="仿宋" w:hAnsi="仿宋" w:eastAsia="仿宋" w:cs="仿宋"/>
                <w:bCs/>
                <w:kern w:val="2"/>
                <w:shd w:val="clear" w:color="auto" w:fill="auto"/>
                <w:lang w:eastAsia="zh-CN"/>
              </w:rPr>
            </w:pPr>
            <w:r>
              <w:rPr>
                <w:rFonts w:hint="eastAsia" w:ascii="仿宋" w:hAnsi="仿宋" w:eastAsia="仿宋" w:cs="仿宋"/>
                <w:b/>
                <w:kern w:val="2"/>
                <w:shd w:val="clear" w:color="auto" w:fill="auto"/>
                <w:lang w:bidi="ar-SA"/>
              </w:rPr>
              <w:t>2.具有良好的商业信誉和健全的会计制度；</w:t>
            </w:r>
            <w:r>
              <w:rPr>
                <w:rFonts w:hint="eastAsia" w:ascii="仿宋" w:hAnsi="仿宋" w:eastAsia="仿宋" w:cs="仿宋"/>
                <w:bCs/>
                <w:kern w:val="2"/>
                <w:shd w:val="clear" w:color="auto" w:fill="auto"/>
              </w:rPr>
              <w:t>（需提供近一年</w:t>
            </w:r>
            <w:r>
              <w:rPr>
                <w:rFonts w:hint="eastAsia" w:ascii="仿宋" w:hAnsi="仿宋" w:eastAsia="仿宋" w:cs="仿宋"/>
                <w:bCs/>
                <w:kern w:val="2"/>
                <w:shd w:val="clear" w:color="auto" w:fill="auto"/>
                <w:lang w:eastAsia="zh-CN"/>
              </w:rPr>
              <w:t>（</w:t>
            </w:r>
            <w:r>
              <w:rPr>
                <w:rFonts w:hint="eastAsia" w:ascii="仿宋" w:hAnsi="仿宋" w:eastAsia="仿宋" w:cs="仿宋"/>
                <w:bCs/>
                <w:kern w:val="2"/>
                <w:shd w:val="clear" w:color="auto" w:fill="auto"/>
                <w:lang w:val="en-US" w:eastAsia="zh-CN"/>
              </w:rPr>
              <w:t>2025年</w:t>
            </w:r>
            <w:r>
              <w:rPr>
                <w:rFonts w:hint="eastAsia" w:ascii="仿宋" w:hAnsi="仿宋" w:eastAsia="仿宋" w:cs="仿宋"/>
                <w:bCs/>
                <w:kern w:val="2"/>
                <w:shd w:val="clear" w:color="auto" w:fill="auto"/>
                <w:lang w:eastAsia="zh-CN"/>
              </w:rPr>
              <w:t>）</w:t>
            </w:r>
            <w:r>
              <w:rPr>
                <w:rFonts w:hint="eastAsia" w:ascii="仿宋" w:hAnsi="仿宋" w:eastAsia="仿宋" w:cs="仿宋"/>
                <w:bCs/>
                <w:kern w:val="2"/>
                <w:shd w:val="clear" w:color="auto" w:fill="auto"/>
              </w:rPr>
              <w:t>经审计的财务报告及附表</w:t>
            </w:r>
            <w:r>
              <w:rPr>
                <w:rFonts w:hint="eastAsia" w:ascii="仿宋" w:hAnsi="仿宋" w:eastAsia="仿宋" w:cs="仿宋"/>
                <w:bCs/>
                <w:kern w:val="2"/>
                <w:shd w:val="clear" w:color="auto" w:fill="auto"/>
                <w:lang w:eastAsia="zh-CN"/>
              </w:rPr>
              <w:t>，</w:t>
            </w:r>
            <w:r>
              <w:rPr>
                <w:rFonts w:hint="eastAsia" w:ascii="仿宋" w:hAnsi="仿宋" w:eastAsia="仿宋" w:cs="仿宋"/>
                <w:bCs/>
                <w:kern w:val="2"/>
                <w:shd w:val="clear" w:color="auto" w:fill="auto"/>
              </w:rPr>
              <w:t>新成立的企业</w:t>
            </w:r>
            <w:bookmarkStart w:id="4" w:name="OLE_LINK2"/>
            <w:r>
              <w:rPr>
                <w:rFonts w:hint="eastAsia" w:ascii="仿宋" w:hAnsi="仿宋" w:eastAsia="仿宋" w:cs="仿宋"/>
                <w:bCs/>
                <w:kern w:val="2"/>
                <w:shd w:val="clear" w:color="auto" w:fill="auto"/>
              </w:rPr>
              <w:t>依据成立时间提供相应报表，</w:t>
            </w:r>
            <w:bookmarkEnd w:id="4"/>
            <w:r>
              <w:rPr>
                <w:rFonts w:hint="eastAsia" w:ascii="仿宋" w:hAnsi="仿宋" w:eastAsia="仿宋" w:cs="仿宋"/>
                <w:bCs/>
                <w:kern w:val="2"/>
                <w:shd w:val="clear" w:color="auto" w:fill="auto"/>
                <w:lang w:bidi="ar-SA"/>
              </w:rPr>
              <w:t>并加盖单</w:t>
            </w:r>
            <w:r>
              <w:rPr>
                <w:rFonts w:hint="eastAsia" w:ascii="仿宋" w:hAnsi="仿宋" w:eastAsia="仿宋" w:cs="仿宋"/>
                <w:bCs/>
                <w:kern w:val="2"/>
                <w:shd w:val="clear" w:color="auto" w:fill="auto"/>
              </w:rPr>
              <w:t>位公章）</w:t>
            </w:r>
            <w:r>
              <w:rPr>
                <w:rFonts w:hint="eastAsia" w:ascii="仿宋" w:hAnsi="仿宋" w:eastAsia="仿宋" w:cs="仿宋"/>
                <w:bCs/>
                <w:kern w:val="2"/>
                <w:shd w:val="clear" w:color="auto" w:fill="auto"/>
                <w:lang w:eastAsia="zh-CN"/>
              </w:rPr>
              <w:t>。</w:t>
            </w:r>
          </w:p>
          <w:p w14:paraId="7EF928DA">
            <w:pPr>
              <w:keepNext w:val="0"/>
              <w:keepLines w:val="0"/>
              <w:pageBreakBefore w:val="0"/>
              <w:widowControl/>
              <w:shd w:val="clear"/>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 w:val="0"/>
                <w:bCs w:val="0"/>
                <w:sz w:val="24"/>
                <w:shd w:val="clear" w:color="auto" w:fill="auto"/>
                <w:lang w:eastAsia="zh-CN"/>
              </w:rPr>
            </w:pPr>
            <w:r>
              <w:rPr>
                <w:rFonts w:hint="eastAsia" w:ascii="仿宋" w:hAnsi="仿宋" w:eastAsia="仿宋" w:cs="仿宋"/>
                <w:b/>
                <w:bCs/>
                <w:sz w:val="24"/>
                <w:shd w:val="clear" w:color="auto" w:fill="auto"/>
              </w:rPr>
              <w:t>3.具有履行合同所</w:t>
            </w:r>
            <w:r>
              <w:rPr>
                <w:rFonts w:hint="eastAsia" w:ascii="仿宋" w:hAnsi="仿宋" w:eastAsia="仿宋" w:cs="仿宋"/>
                <w:b/>
                <w:bCs/>
                <w:sz w:val="24"/>
                <w:shd w:val="clear" w:color="auto" w:fill="auto"/>
                <w:lang w:val="en-US" w:eastAsia="zh-CN"/>
              </w:rPr>
              <w:t>必须</w:t>
            </w:r>
            <w:r>
              <w:rPr>
                <w:rFonts w:hint="eastAsia" w:ascii="仿宋" w:hAnsi="仿宋" w:eastAsia="仿宋" w:cs="仿宋"/>
                <w:b/>
                <w:bCs/>
                <w:sz w:val="24"/>
                <w:shd w:val="clear" w:color="auto" w:fill="auto"/>
              </w:rPr>
              <w:t>的专业技术能力；</w:t>
            </w:r>
            <w:r>
              <w:rPr>
                <w:rFonts w:hint="eastAsia" w:ascii="仿宋" w:hAnsi="仿宋" w:eastAsia="仿宋" w:cs="仿宋"/>
                <w:b w:val="0"/>
                <w:bCs w:val="0"/>
                <w:sz w:val="24"/>
                <w:shd w:val="clear" w:color="auto" w:fill="auto"/>
              </w:rPr>
              <w:t>（</w:t>
            </w:r>
            <w:r>
              <w:rPr>
                <w:rFonts w:hint="eastAsia" w:ascii="仿宋" w:hAnsi="仿宋" w:eastAsia="仿宋" w:cs="仿宋"/>
                <w:b w:val="0"/>
                <w:bCs w:val="0"/>
                <w:sz w:val="24"/>
                <w:shd w:val="clear" w:color="auto" w:fill="auto"/>
                <w:lang w:val="en-US" w:eastAsia="zh-CN"/>
              </w:rPr>
              <w:t>提供履行合同所需专业技术能力的承诺函并加盖单位公章</w:t>
            </w:r>
            <w:r>
              <w:rPr>
                <w:rFonts w:hint="eastAsia" w:ascii="仿宋" w:hAnsi="仿宋" w:eastAsia="仿宋" w:cs="仿宋"/>
                <w:b w:val="0"/>
                <w:bCs w:val="0"/>
                <w:sz w:val="24"/>
                <w:shd w:val="clear" w:color="auto" w:fill="auto"/>
              </w:rPr>
              <w:t>）</w:t>
            </w:r>
            <w:r>
              <w:rPr>
                <w:rFonts w:hint="eastAsia" w:ascii="仿宋" w:hAnsi="仿宋" w:eastAsia="仿宋" w:cs="仿宋"/>
                <w:b w:val="0"/>
                <w:bCs w:val="0"/>
                <w:sz w:val="24"/>
                <w:shd w:val="clear" w:color="auto" w:fill="auto"/>
                <w:lang w:eastAsia="zh-CN"/>
              </w:rPr>
              <w:t>。</w:t>
            </w:r>
          </w:p>
          <w:p w14:paraId="1068D542">
            <w:pPr>
              <w:keepNext w:val="0"/>
              <w:keepLines w:val="0"/>
              <w:pageBreakBefore w:val="0"/>
              <w:widowControl/>
              <w:shd w:val="clear"/>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Cs/>
                <w:kern w:val="2"/>
                <w:sz w:val="24"/>
                <w:szCs w:val="24"/>
                <w:shd w:val="clear" w:color="auto" w:fill="auto"/>
                <w:lang w:val="en-US" w:eastAsia="zh-CN" w:bidi="bo-CN"/>
              </w:rPr>
            </w:pPr>
            <w:r>
              <w:rPr>
                <w:rFonts w:hint="eastAsia" w:ascii="仿宋" w:hAnsi="仿宋" w:eastAsia="仿宋" w:cs="仿宋"/>
                <w:b/>
                <w:sz w:val="24"/>
                <w:shd w:val="clear" w:color="auto" w:fill="auto"/>
              </w:rPr>
              <w:t>4.具有依法缴纳税收和社会保障资金的良好记录；</w:t>
            </w:r>
            <w:r>
              <w:rPr>
                <w:rFonts w:hint="eastAsia" w:ascii="仿宋" w:hAnsi="仿宋" w:eastAsia="仿宋" w:cs="仿宋"/>
                <w:bCs/>
                <w:kern w:val="2"/>
                <w:sz w:val="24"/>
                <w:szCs w:val="24"/>
                <w:shd w:val="clear" w:color="auto" w:fill="auto"/>
                <w:lang w:val="en-US" w:eastAsia="zh-CN" w:bidi="bo-CN"/>
              </w:rPr>
              <w:t>（提供近三个月（2026年1-3月或2-4月）缴纳税收和社会保障资金凭证等相关资料，新成立企业依据成立时间提供相应承诺书，并加盖公章。若无须缴纳税金，须出具相关证明材料）。</w:t>
            </w:r>
          </w:p>
          <w:p w14:paraId="498B85D0">
            <w:pPr>
              <w:keepNext w:val="0"/>
              <w:keepLines w:val="0"/>
              <w:pageBreakBefore w:val="0"/>
              <w:widowControl/>
              <w:shd w:val="clear"/>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Cs/>
                <w:sz w:val="24"/>
                <w:shd w:val="clear" w:color="auto" w:fill="auto"/>
              </w:rPr>
            </w:pPr>
            <w:r>
              <w:rPr>
                <w:rFonts w:hint="eastAsia" w:ascii="仿宋" w:hAnsi="仿宋" w:eastAsia="仿宋" w:cs="仿宋"/>
                <w:b/>
                <w:sz w:val="24"/>
                <w:shd w:val="clear" w:color="auto" w:fill="auto"/>
              </w:rPr>
              <w:t>5.参加政府采购活动</w:t>
            </w:r>
            <w:r>
              <w:rPr>
                <w:rFonts w:hint="eastAsia" w:ascii="仿宋" w:hAnsi="仿宋" w:eastAsia="仿宋" w:cs="仿宋"/>
                <w:b/>
                <w:sz w:val="24"/>
                <w:shd w:val="clear" w:color="auto" w:fill="auto"/>
                <w:lang w:eastAsia="zh-CN"/>
              </w:rPr>
              <w:t>近</w:t>
            </w:r>
            <w:bookmarkStart w:id="5" w:name="_GoBack"/>
            <w:bookmarkEnd w:id="5"/>
            <w:r>
              <w:rPr>
                <w:rFonts w:hint="eastAsia" w:ascii="仿宋" w:hAnsi="仿宋" w:eastAsia="仿宋" w:cs="仿宋"/>
                <w:b/>
                <w:sz w:val="24"/>
                <w:shd w:val="clear" w:color="auto" w:fill="auto"/>
              </w:rPr>
              <w:t>三年内，在经营活动中没有重大违法记录；</w:t>
            </w:r>
            <w:r>
              <w:rPr>
                <w:rFonts w:hint="eastAsia" w:ascii="仿宋" w:hAnsi="仿宋" w:eastAsia="仿宋" w:cs="仿宋"/>
                <w:bCs/>
                <w:kern w:val="2"/>
                <w:sz w:val="24"/>
                <w:szCs w:val="24"/>
                <w:shd w:val="clear" w:color="auto" w:fill="auto"/>
                <w:lang w:val="en-US" w:eastAsia="zh-CN" w:bidi="bo-CN"/>
              </w:rPr>
              <w:t>（提供承诺函并加盖单位公章）。</w:t>
            </w:r>
          </w:p>
          <w:p w14:paraId="2A09FB71">
            <w:pPr>
              <w:keepNext w:val="0"/>
              <w:keepLines w:val="0"/>
              <w:pageBreakBefore w:val="0"/>
              <w:widowControl/>
              <w:shd w:val="clear"/>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Cs/>
                <w:kern w:val="2"/>
                <w:sz w:val="24"/>
                <w:szCs w:val="24"/>
                <w:shd w:val="clear" w:color="auto" w:fill="auto"/>
                <w:lang w:val="en-US" w:eastAsia="zh-CN" w:bidi="bo-CN"/>
              </w:rPr>
            </w:pPr>
            <w:r>
              <w:rPr>
                <w:rFonts w:hint="eastAsia" w:ascii="仿宋" w:hAnsi="仿宋" w:eastAsia="仿宋" w:cs="仿宋"/>
                <w:b/>
                <w:sz w:val="24"/>
                <w:shd w:val="clear" w:color="auto" w:fill="auto"/>
                <w:lang w:val="en-US" w:eastAsia="zh-CN"/>
              </w:rPr>
              <w:t>6</w:t>
            </w:r>
            <w:r>
              <w:rPr>
                <w:rFonts w:hint="eastAsia" w:ascii="仿宋" w:hAnsi="仿宋" w:eastAsia="仿宋" w:cs="仿宋"/>
                <w:b/>
                <w:sz w:val="24"/>
                <w:shd w:val="clear" w:color="auto" w:fill="auto"/>
              </w:rPr>
              <w:t>.供应商之间单位负责人为同一人或存在直接控股、管理关系的，不得参与本项目的比选活动；</w:t>
            </w:r>
            <w:r>
              <w:rPr>
                <w:rFonts w:hint="eastAsia" w:ascii="仿宋" w:hAnsi="仿宋" w:eastAsia="仿宋" w:cs="仿宋"/>
                <w:bCs/>
                <w:kern w:val="2"/>
                <w:sz w:val="24"/>
                <w:szCs w:val="24"/>
                <w:shd w:val="clear" w:color="auto" w:fill="auto"/>
                <w:lang w:val="en-US" w:eastAsia="zh-CN" w:bidi="bo-CN"/>
              </w:rPr>
              <w:t>（提供非同一单位或存在直接控股、管理关系的承诺函并加盖单位公章）。</w:t>
            </w:r>
          </w:p>
          <w:p w14:paraId="514EB63C">
            <w:pPr>
              <w:keepNext w:val="0"/>
              <w:keepLines w:val="0"/>
              <w:pageBreakBefore w:val="0"/>
              <w:widowControl/>
              <w:shd w:val="clear"/>
              <w:kinsoku/>
              <w:wordWrap/>
              <w:overflowPunct/>
              <w:topLinePunct w:val="0"/>
              <w:autoSpaceDE/>
              <w:autoSpaceDN w:val="0"/>
              <w:bidi w:val="0"/>
              <w:adjustRightInd/>
              <w:snapToGrid/>
              <w:spacing w:line="400" w:lineRule="exact"/>
              <w:ind w:firstLine="482" w:firstLineChars="200"/>
              <w:textAlignment w:val="auto"/>
              <w:rPr>
                <w:rFonts w:hint="eastAsia" w:ascii="方正仿宋_GBK" w:hAnsi="方正仿宋_GBK" w:eastAsia="仿宋" w:cs="方正仿宋_GBK"/>
                <w:b/>
                <w:sz w:val="24"/>
                <w:szCs w:val="24"/>
                <w:shd w:val="clear" w:color="auto" w:fill="auto"/>
                <w:lang w:eastAsia="zh-CN"/>
              </w:rPr>
            </w:pPr>
            <w:r>
              <w:rPr>
                <w:rFonts w:hint="eastAsia" w:ascii="仿宋" w:hAnsi="仿宋" w:eastAsia="仿宋" w:cs="仿宋"/>
                <w:b/>
                <w:sz w:val="24"/>
                <w:shd w:val="clear" w:color="auto" w:fill="auto"/>
                <w:lang w:val="en-US" w:eastAsia="zh-CN"/>
              </w:rPr>
              <w:t>7.</w:t>
            </w:r>
            <w:r>
              <w:rPr>
                <w:rFonts w:hint="eastAsia" w:ascii="仿宋" w:hAnsi="仿宋" w:eastAsia="仿宋" w:cs="仿宋"/>
                <w:b/>
                <w:sz w:val="24"/>
                <w:shd w:val="clear" w:color="auto" w:fill="auto"/>
              </w:rPr>
              <w:t>法律、行政法规规定的其他条件。</w:t>
            </w:r>
            <w:r>
              <w:rPr>
                <w:rFonts w:hint="eastAsia" w:ascii="仿宋" w:hAnsi="仿宋" w:eastAsia="仿宋" w:cs="仿宋"/>
                <w:bCs/>
                <w:sz w:val="24"/>
                <w:shd w:val="clear" w:color="auto" w:fill="auto"/>
              </w:rPr>
              <w:t>对被“信用中国（www.creditchina.gov.cn）”网站列入“重大税收违法失信主体”</w:t>
            </w:r>
            <w:r>
              <w:rPr>
                <w:rFonts w:hint="eastAsia" w:ascii="仿宋" w:hAnsi="仿宋" w:eastAsia="仿宋" w:cs="仿宋"/>
                <w:bCs/>
                <w:sz w:val="24"/>
                <w:shd w:val="clear" w:color="auto" w:fill="auto"/>
                <w:lang w:eastAsia="zh-CN"/>
              </w:rPr>
              <w:t>、</w:t>
            </w:r>
            <w:r>
              <w:rPr>
                <w:rFonts w:hint="eastAsia" w:ascii="仿宋" w:hAnsi="仿宋" w:eastAsia="仿宋" w:cs="仿宋"/>
                <w:bCs/>
                <w:sz w:val="24"/>
                <w:shd w:val="clear" w:color="auto" w:fill="auto"/>
              </w:rPr>
              <w:t>“中国政府采购网（www.ccgp.gov.cn）”列入“政府采购严重违法失信行为记录名单”及“中国执行信息公开网（http://zxgk.court.gov.cn/shixin/）”列入“失信被执行人”的供应商，不得参与本项目的采购活动。（供应商须提供相关的查询截图并加盖公章，查询时间为本公告发布之日至递交文件截止时间前的任意时间）</w:t>
            </w:r>
            <w:r>
              <w:rPr>
                <w:rFonts w:hint="eastAsia" w:ascii="仿宋" w:hAnsi="仿宋" w:eastAsia="仿宋" w:cs="仿宋"/>
                <w:bCs/>
                <w:sz w:val="24"/>
                <w:shd w:val="clear" w:color="auto" w:fill="auto"/>
                <w:lang w:eastAsia="zh-CN"/>
              </w:rPr>
              <w:t>。</w:t>
            </w:r>
          </w:p>
        </w:tc>
      </w:tr>
      <w:tr w14:paraId="6C6C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BBC5A4">
            <w:pPr>
              <w:shd w:val="clear"/>
              <w:autoSpaceDN w:val="0"/>
              <w:spacing w:line="576" w:lineRule="exact"/>
              <w:jc w:val="center"/>
              <w:rPr>
                <w:rFonts w:ascii="方正仿宋_GBK" w:hAnsi="方正仿宋_GBK" w:eastAsia="方正仿宋_GBK" w:cs="方正仿宋_GBK"/>
                <w:sz w:val="24"/>
                <w:szCs w:val="24"/>
                <w:shd w:val="clear" w:color="auto" w:fill="auto"/>
              </w:rPr>
            </w:pPr>
            <w:r>
              <w:rPr>
                <w:rFonts w:hint="eastAsia" w:ascii="仿宋" w:hAnsi="仿宋" w:eastAsia="仿宋" w:cs="仿宋"/>
                <w:sz w:val="24"/>
                <w:shd w:val="clear" w:color="auto" w:fill="auto"/>
              </w:rPr>
              <w:t>资格性审查结论（通过或不通过）（</w:t>
            </w:r>
            <w:r>
              <w:rPr>
                <w:rFonts w:hint="eastAsia" w:ascii="仿宋" w:hAnsi="仿宋" w:eastAsia="仿宋" w:cs="仿宋"/>
                <w:b/>
                <w:bCs/>
                <w:sz w:val="24"/>
                <w:shd w:val="clear" w:color="auto" w:fill="auto"/>
              </w:rPr>
              <w:t>注：任何一项不满足要求，审查不通过，不参与正式评审</w:t>
            </w:r>
            <w:r>
              <w:rPr>
                <w:rFonts w:hint="eastAsia" w:ascii="仿宋" w:hAnsi="仿宋" w:eastAsia="仿宋" w:cs="仿宋"/>
                <w:sz w:val="24"/>
                <w:shd w:val="clear" w:color="auto" w:fill="auto"/>
              </w:rPr>
              <w:t>）</w:t>
            </w:r>
          </w:p>
        </w:tc>
      </w:tr>
    </w:tbl>
    <w:p w14:paraId="3C4D8F94">
      <w:pPr>
        <w:pStyle w:val="6"/>
        <w:autoSpaceDE/>
        <w:adjustRightInd/>
        <w:spacing w:line="576" w:lineRule="exact"/>
        <w:ind w:left="0" w:firstLine="0" w:firstLineChars="0"/>
        <w:jc w:val="center"/>
        <w:rPr>
          <w:rFonts w:hint="eastAsia" w:ascii="黑体" w:hAnsi="黑体" w:eastAsia="黑体" w:cs="黑体"/>
          <w:sz w:val="32"/>
          <w:szCs w:val="32"/>
        </w:rPr>
      </w:pPr>
      <w:r>
        <w:rPr>
          <w:rFonts w:hint="eastAsia" w:ascii="黑体" w:hAnsi="黑体" w:eastAsia="黑体" w:cs="黑体"/>
          <w:sz w:val="32"/>
          <w:szCs w:val="32"/>
        </w:rPr>
        <w:t>综合评分表</w:t>
      </w:r>
    </w:p>
    <w:p w14:paraId="0C913CEC">
      <w:pPr>
        <w:pStyle w:val="6"/>
        <w:autoSpaceDE/>
        <w:adjustRightInd/>
        <w:spacing w:line="576" w:lineRule="exact"/>
        <w:ind w:left="0" w:firstLine="0" w:firstLineChars="0"/>
        <w:jc w:val="center"/>
        <w:rPr>
          <w:rFonts w:hint="eastAsia" w:ascii="黑体" w:hAnsi="黑体" w:eastAsia="黑体" w:cs="黑体"/>
          <w:sz w:val="32"/>
          <w:szCs w:val="32"/>
        </w:rPr>
      </w:pPr>
    </w:p>
    <w:tbl>
      <w:tblPr>
        <w:tblStyle w:val="1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815"/>
        <w:gridCol w:w="597"/>
        <w:gridCol w:w="4995"/>
        <w:gridCol w:w="849"/>
      </w:tblGrid>
      <w:tr w14:paraId="4573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2017" w:type="dxa"/>
            <w:gridSpan w:val="2"/>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7EC7EAE5">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 w:hAnsi="仿宋" w:eastAsia="仿宋" w:cs="仿宋"/>
                <w:b/>
                <w:bCs/>
                <w:sz w:val="21"/>
                <w:szCs w:val="21"/>
              </w:rPr>
            </w:pPr>
            <w:r>
              <w:rPr>
                <w:rFonts w:hint="eastAsia" w:ascii="仿宋" w:hAnsi="仿宋" w:eastAsia="仿宋" w:cs="仿宋"/>
                <w:b/>
                <w:bCs/>
                <w:sz w:val="21"/>
                <w:szCs w:val="21"/>
              </w:rPr>
              <w:t>评分内容及分值</w:t>
            </w:r>
          </w:p>
        </w:tc>
        <w:tc>
          <w:tcPr>
            <w:tcW w:w="5592" w:type="dxa"/>
            <w:gridSpan w:val="2"/>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709A36B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 w:hAnsi="仿宋" w:eastAsia="仿宋" w:cs="仿宋"/>
                <w:b/>
                <w:bCs/>
                <w:sz w:val="21"/>
                <w:szCs w:val="21"/>
              </w:rPr>
            </w:pPr>
            <w:r>
              <w:rPr>
                <w:rFonts w:hint="eastAsia" w:ascii="仿宋" w:hAnsi="仿宋" w:eastAsia="仿宋" w:cs="仿宋"/>
                <w:b/>
                <w:bCs/>
                <w:sz w:val="21"/>
                <w:szCs w:val="21"/>
              </w:rPr>
              <w:t>评分标准</w:t>
            </w:r>
          </w:p>
        </w:tc>
        <w:tc>
          <w:tcPr>
            <w:tcW w:w="849"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7A2ABA95">
            <w:pPr>
              <w:keepNext w:val="0"/>
              <w:keepLines w:val="0"/>
              <w:pageBreakBefore w:val="0"/>
              <w:kinsoku/>
              <w:wordWrap/>
              <w:overflowPunct/>
              <w:topLinePunct w:val="0"/>
              <w:autoSpaceDE/>
              <w:autoSpaceDN w:val="0"/>
              <w:bidi w:val="0"/>
              <w:adjustRightInd/>
              <w:snapToGrid/>
              <w:spacing w:line="520" w:lineRule="exact"/>
              <w:jc w:val="center"/>
              <w:textAlignment w:val="auto"/>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赋分</w:t>
            </w:r>
          </w:p>
        </w:tc>
      </w:tr>
      <w:tr w14:paraId="6E05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609" w:type="dxa"/>
            <w:gridSpan w:val="4"/>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2DDC68A0">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 w:hAnsi="仿宋" w:eastAsia="仿宋" w:cs="仿宋"/>
                <w:sz w:val="15"/>
                <w:szCs w:val="15"/>
              </w:rPr>
            </w:pPr>
            <w:r>
              <w:rPr>
                <w:rFonts w:hint="eastAsia" w:ascii="仿宋" w:hAnsi="仿宋" w:eastAsia="仿宋" w:cs="仿宋"/>
                <w:sz w:val="28"/>
                <w:szCs w:val="28"/>
              </w:rPr>
              <w:t>总  分</w:t>
            </w:r>
          </w:p>
        </w:tc>
        <w:tc>
          <w:tcPr>
            <w:tcW w:w="849"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64972798">
            <w:pPr>
              <w:keepNext w:val="0"/>
              <w:keepLines w:val="0"/>
              <w:pageBreakBefore w:val="0"/>
              <w:kinsoku/>
              <w:wordWrap/>
              <w:overflowPunct/>
              <w:topLinePunct w:val="0"/>
              <w:autoSpaceDE/>
              <w:autoSpaceDN w:val="0"/>
              <w:bidi w:val="0"/>
              <w:adjustRightInd/>
              <w:snapToGrid/>
              <w:spacing w:line="520" w:lineRule="exact"/>
              <w:textAlignment w:val="auto"/>
              <w:rPr>
                <w:rFonts w:ascii="方正仿宋_GBK" w:hAnsi="方正仿宋_GBK" w:eastAsia="方正仿宋_GBK" w:cs="方正仿宋_GBK"/>
                <w:sz w:val="24"/>
                <w:szCs w:val="24"/>
              </w:rPr>
            </w:pPr>
          </w:p>
        </w:tc>
      </w:tr>
      <w:tr w14:paraId="5A60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0" w:hRule="atLeast"/>
          <w:jc w:val="center"/>
        </w:trPr>
        <w:tc>
          <w:tcPr>
            <w:tcW w:w="1202"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1137E2F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 w:hAnsi="仿宋" w:eastAsia="仿宋" w:cs="仿宋"/>
                <w:szCs w:val="21"/>
              </w:rPr>
            </w:pPr>
            <w:r>
              <w:rPr>
                <w:rFonts w:hint="eastAsia" w:ascii="仿宋" w:hAnsi="仿宋" w:eastAsia="仿宋" w:cs="仿宋"/>
                <w:szCs w:val="21"/>
              </w:rPr>
              <w:t>价格（权重</w:t>
            </w:r>
            <w:r>
              <w:rPr>
                <w:rFonts w:hint="eastAsia" w:ascii="仿宋" w:hAnsi="仿宋" w:eastAsia="仿宋" w:cs="仿宋"/>
                <w:szCs w:val="21"/>
                <w:lang w:val="en-US" w:eastAsia="zh-CN"/>
              </w:rPr>
              <w:t>40</w:t>
            </w:r>
            <w:r>
              <w:rPr>
                <w:rFonts w:hint="eastAsia" w:ascii="仿宋" w:hAnsi="仿宋" w:eastAsia="仿宋" w:cs="仿宋"/>
                <w:szCs w:val="21"/>
              </w:rPr>
              <w:t>%）</w:t>
            </w:r>
          </w:p>
        </w:tc>
        <w:tc>
          <w:tcPr>
            <w:tcW w:w="815"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023D9F2B">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 w:hAnsi="仿宋" w:eastAsia="仿宋" w:cs="仿宋"/>
                <w:szCs w:val="21"/>
              </w:rPr>
            </w:pPr>
            <w:r>
              <w:rPr>
                <w:rFonts w:hint="eastAsia" w:ascii="仿宋" w:hAnsi="仿宋" w:eastAsia="仿宋" w:cs="仿宋"/>
                <w:szCs w:val="21"/>
                <w:lang w:val="en-US" w:eastAsia="zh-CN"/>
              </w:rPr>
              <w:t>40</w:t>
            </w:r>
            <w:r>
              <w:rPr>
                <w:rFonts w:hint="eastAsia" w:ascii="仿宋" w:hAnsi="仿宋" w:eastAsia="仿宋" w:cs="仿宋"/>
                <w:szCs w:val="21"/>
              </w:rPr>
              <w:t>分</w:t>
            </w:r>
          </w:p>
        </w:tc>
        <w:tc>
          <w:tcPr>
            <w:tcW w:w="5592" w:type="dxa"/>
            <w:gridSpan w:val="2"/>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24D2C596">
            <w:pPr>
              <w:keepNext w:val="0"/>
              <w:keepLines w:val="0"/>
              <w:pageBreakBefore w:val="0"/>
              <w:widowControl w:val="0"/>
              <w:kinsoku/>
              <w:wordWrap/>
              <w:overflowPunct/>
              <w:topLinePunct w:val="0"/>
              <w:autoSpaceDE/>
              <w:bidi w:val="0"/>
              <w:adjustRightInd/>
              <w:snapToGrid/>
              <w:spacing w:line="560" w:lineRule="exact"/>
              <w:textAlignment w:val="auto"/>
              <w:rPr>
                <w:rFonts w:hint="eastAsia" w:ascii="仿宋" w:hAnsi="仿宋" w:eastAsia="仿宋" w:cs="仿宋"/>
                <w:szCs w:val="21"/>
              </w:rPr>
            </w:pPr>
            <w:r>
              <w:rPr>
                <w:rFonts w:hint="eastAsia" w:ascii="仿宋" w:hAnsi="仿宋" w:eastAsia="仿宋" w:cs="仿宋"/>
                <w:szCs w:val="21"/>
              </w:rPr>
              <w:t>（1）评审基准价计算公式：J=（B1+B2+…+ Bn）÷n（B1 B2……Bn为n个有效比选总价，当有效比选总价个数n≤5时，J为全部有效比选总价的算术平均值；当有效比选总价个数n＞5且n≤9时，J为去掉一个最高和一个最低比选总价后的算术平均值；当有效比选总价个数n＞9时，J为去掉二个最高和一个最低比选总价后的算术平均值；供应商的报价明显低于其他通过符合性审查供应商的报价，有可能影响产品质量或者不能诚信履约的，应当要求其在规定时间内提供书面说明及相关证明材料；供应商不能证明其报价合理性的，应当将其作为无效报价处理。）</w:t>
            </w:r>
          </w:p>
          <w:p w14:paraId="7FF30D80">
            <w:pPr>
              <w:keepNext w:val="0"/>
              <w:keepLines w:val="0"/>
              <w:pageBreakBefore w:val="0"/>
              <w:widowControl w:val="0"/>
              <w:kinsoku/>
              <w:wordWrap/>
              <w:overflowPunct/>
              <w:topLinePunct w:val="0"/>
              <w:autoSpaceDE/>
              <w:bidi w:val="0"/>
              <w:adjustRightInd/>
              <w:snapToGrid/>
              <w:spacing w:line="560" w:lineRule="exact"/>
              <w:textAlignment w:val="auto"/>
              <w:rPr>
                <w:rFonts w:hint="eastAsia" w:ascii="仿宋" w:hAnsi="仿宋" w:eastAsia="仿宋" w:cs="仿宋"/>
                <w:szCs w:val="21"/>
              </w:rPr>
            </w:pPr>
            <w:r>
              <w:rPr>
                <w:rFonts w:hint="eastAsia" w:ascii="仿宋" w:hAnsi="仿宋" w:eastAsia="仿宋" w:cs="仿宋"/>
                <w:szCs w:val="21"/>
              </w:rPr>
              <w:t>（2）偏差率计算公式：P=│Bn -J│÷J×100%</w:t>
            </w:r>
          </w:p>
          <w:p w14:paraId="40CC7CA0">
            <w:pPr>
              <w:keepNext w:val="0"/>
              <w:keepLines w:val="0"/>
              <w:pageBreakBefore w:val="0"/>
              <w:widowControl w:val="0"/>
              <w:kinsoku/>
              <w:wordWrap/>
              <w:overflowPunct/>
              <w:topLinePunct w:val="0"/>
              <w:autoSpaceDE/>
              <w:bidi w:val="0"/>
              <w:adjustRightInd/>
              <w:snapToGrid/>
              <w:spacing w:line="560" w:lineRule="exact"/>
              <w:textAlignment w:val="auto"/>
              <w:rPr>
                <w:rFonts w:hint="eastAsia" w:ascii="仿宋" w:hAnsi="仿宋" w:eastAsia="仿宋" w:cs="仿宋"/>
                <w:szCs w:val="21"/>
              </w:rPr>
            </w:pPr>
            <w:r>
              <w:rPr>
                <w:rFonts w:hint="eastAsia" w:ascii="仿宋" w:hAnsi="仿宋" w:eastAsia="仿宋" w:cs="仿宋"/>
                <w:szCs w:val="21"/>
              </w:rPr>
              <w:t>（Bn：第n个有效比选总价，J：评审基准价）</w:t>
            </w:r>
          </w:p>
          <w:p w14:paraId="6857AEFD">
            <w:pPr>
              <w:keepNext w:val="0"/>
              <w:keepLines w:val="0"/>
              <w:pageBreakBefore w:val="0"/>
              <w:widowControl w:val="0"/>
              <w:kinsoku/>
              <w:wordWrap/>
              <w:overflowPunct/>
              <w:topLinePunct w:val="0"/>
              <w:autoSpaceDE/>
              <w:bidi w:val="0"/>
              <w:adjustRightInd/>
              <w:snapToGrid/>
              <w:spacing w:line="560" w:lineRule="exact"/>
              <w:textAlignment w:val="auto"/>
              <w:rPr>
                <w:rFonts w:hint="eastAsia" w:ascii="仿宋" w:hAnsi="仿宋" w:eastAsia="仿宋" w:cs="仿宋"/>
                <w:szCs w:val="21"/>
              </w:rPr>
            </w:pPr>
            <w:r>
              <w:rPr>
                <w:rFonts w:hint="eastAsia" w:ascii="仿宋" w:hAnsi="仿宋" w:eastAsia="仿宋" w:cs="仿宋"/>
                <w:szCs w:val="21"/>
              </w:rPr>
              <w:t>（3）价格比选得分计算公式：I=分值－P×K×100</w:t>
            </w:r>
          </w:p>
          <w:p w14:paraId="17D6EEBC">
            <w:pPr>
              <w:keepNext w:val="0"/>
              <w:keepLines w:val="0"/>
              <w:pageBreakBefore w:val="0"/>
              <w:widowControl w:val="0"/>
              <w:kinsoku/>
              <w:wordWrap/>
              <w:overflowPunct/>
              <w:topLinePunct w:val="0"/>
              <w:autoSpaceDE/>
              <w:bidi w:val="0"/>
              <w:adjustRightInd/>
              <w:snapToGrid/>
              <w:spacing w:line="560" w:lineRule="exact"/>
              <w:textAlignment w:val="auto"/>
              <w:rPr>
                <w:rFonts w:hint="eastAsia" w:ascii="仿宋" w:hAnsi="仿宋" w:eastAsia="仿宋" w:cs="仿宋"/>
                <w:szCs w:val="21"/>
              </w:rPr>
            </w:pPr>
            <w:r>
              <w:rPr>
                <w:rFonts w:hint="eastAsia" w:ascii="仿宋" w:hAnsi="仿宋" w:eastAsia="仿宋" w:cs="仿宋"/>
                <w:szCs w:val="21"/>
              </w:rPr>
              <w:t>（I：比选总价得分（I≥0），P：偏差率，K：扣分系数，根据实际情况选取，Bn大于J时，K取0.8；Bn小于J时，K取0.5；Bn等于J时，K取0。）</w:t>
            </w:r>
          </w:p>
          <w:p w14:paraId="4A3D7F54">
            <w:pPr>
              <w:keepNext w:val="0"/>
              <w:keepLines w:val="0"/>
              <w:pageBreakBefore w:val="0"/>
              <w:widowControl w:val="0"/>
              <w:kinsoku/>
              <w:wordWrap/>
              <w:overflowPunct/>
              <w:topLinePunct w:val="0"/>
              <w:autoSpaceDE/>
              <w:autoSpaceDN w:val="0"/>
              <w:bidi w:val="0"/>
              <w:adjustRightInd/>
              <w:snapToGrid/>
              <w:spacing w:line="560" w:lineRule="exact"/>
              <w:textAlignment w:val="auto"/>
              <w:rPr>
                <w:rFonts w:ascii="仿宋" w:hAnsi="仿宋" w:eastAsia="仿宋" w:cs="仿宋"/>
                <w:sz w:val="24"/>
                <w:szCs w:val="24"/>
              </w:rPr>
            </w:pPr>
          </w:p>
        </w:tc>
        <w:tc>
          <w:tcPr>
            <w:tcW w:w="849"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4A02440E">
            <w:pPr>
              <w:keepNext w:val="0"/>
              <w:keepLines w:val="0"/>
              <w:pageBreakBefore w:val="0"/>
              <w:kinsoku/>
              <w:wordWrap/>
              <w:overflowPunct/>
              <w:topLinePunct w:val="0"/>
              <w:autoSpaceDE/>
              <w:autoSpaceDN w:val="0"/>
              <w:bidi w:val="0"/>
              <w:adjustRightInd/>
              <w:snapToGrid/>
              <w:spacing w:line="520" w:lineRule="exact"/>
              <w:textAlignment w:val="auto"/>
              <w:rPr>
                <w:rFonts w:ascii="方正仿宋_GBK" w:hAnsi="方正仿宋_GBK" w:eastAsia="方正仿宋_GBK" w:cs="方正仿宋_GBK"/>
                <w:sz w:val="24"/>
                <w:szCs w:val="24"/>
              </w:rPr>
            </w:pPr>
          </w:p>
        </w:tc>
      </w:tr>
      <w:tr w14:paraId="02E2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202" w:type="dxa"/>
            <w:vMerge w:val="restart"/>
            <w:tcBorders>
              <w:top w:val="single" w:color="auto" w:sz="4" w:space="0"/>
              <w:left w:val="single" w:color="auto" w:sz="4" w:space="0"/>
              <w:right w:val="single" w:color="auto" w:sz="4" w:space="0"/>
            </w:tcBorders>
            <w:tcMar>
              <w:top w:w="15" w:type="dxa"/>
              <w:left w:w="74" w:type="dxa"/>
              <w:bottom w:w="15" w:type="dxa"/>
              <w:right w:w="74" w:type="dxa"/>
            </w:tcMar>
            <w:vAlign w:val="center"/>
          </w:tcPr>
          <w:p w14:paraId="487F71A5">
            <w:pPr>
              <w:keepNext w:val="0"/>
              <w:keepLines w:val="0"/>
              <w:pageBreakBefore w:val="0"/>
              <w:kinsoku/>
              <w:wordWrap/>
              <w:overflowPunct/>
              <w:topLinePunct w:val="0"/>
              <w:autoSpaceDE/>
              <w:autoSpaceDN w:val="0"/>
              <w:bidi w:val="0"/>
              <w:adjustRightInd/>
              <w:snapToGrid/>
              <w:spacing w:line="320" w:lineRule="exact"/>
              <w:ind w:firstLine="180" w:firstLineChars="100"/>
              <w:jc w:val="both"/>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服务方案</w:t>
            </w:r>
          </w:p>
          <w:p w14:paraId="72FCF40E">
            <w:pPr>
              <w:keepNext w:val="0"/>
              <w:keepLines w:val="0"/>
              <w:pageBreakBefore w:val="0"/>
              <w:kinsoku/>
              <w:wordWrap/>
              <w:overflowPunct/>
              <w:topLinePunct w:val="0"/>
              <w:autoSpaceDE/>
              <w:autoSpaceDN w:val="0"/>
              <w:bidi w:val="0"/>
              <w:adjustRightInd/>
              <w:snapToGrid/>
              <w:spacing w:line="320" w:lineRule="exact"/>
              <w:jc w:val="both"/>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（权重</w:t>
            </w:r>
            <w:r>
              <w:rPr>
                <w:rFonts w:hint="eastAsia" w:ascii="方正仿宋_GBK" w:hAnsi="方正仿宋_GBK" w:eastAsia="方正仿宋_GBK" w:cs="方正仿宋_GBK"/>
                <w:sz w:val="18"/>
                <w:szCs w:val="18"/>
                <w:lang w:val="en-US" w:eastAsia="zh-CN" w:bidi="ar-SA"/>
              </w:rPr>
              <w:t>40</w:t>
            </w:r>
            <w:r>
              <w:rPr>
                <w:rFonts w:hint="eastAsia" w:ascii="方正仿宋_GBK" w:hAnsi="方正仿宋_GBK" w:eastAsia="方正仿宋_GBK" w:cs="方正仿宋_GBK"/>
                <w:sz w:val="18"/>
                <w:szCs w:val="18"/>
                <w:lang w:bidi="ar-SA"/>
              </w:rPr>
              <w:t>%）</w:t>
            </w:r>
          </w:p>
        </w:tc>
        <w:tc>
          <w:tcPr>
            <w:tcW w:w="815" w:type="dxa"/>
            <w:vMerge w:val="restart"/>
            <w:tcBorders>
              <w:top w:val="single" w:color="auto" w:sz="4" w:space="0"/>
              <w:left w:val="single" w:color="auto" w:sz="4" w:space="0"/>
              <w:right w:val="single" w:color="auto" w:sz="4" w:space="0"/>
            </w:tcBorders>
            <w:tcMar>
              <w:top w:w="15" w:type="dxa"/>
              <w:left w:w="74" w:type="dxa"/>
              <w:bottom w:w="15" w:type="dxa"/>
              <w:right w:w="74" w:type="dxa"/>
            </w:tcMar>
            <w:vAlign w:val="center"/>
          </w:tcPr>
          <w:p w14:paraId="4E639CBA">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val="en-US" w:eastAsia="zh-CN" w:bidi="ar-SA"/>
              </w:rPr>
              <w:t>40</w:t>
            </w:r>
            <w:r>
              <w:rPr>
                <w:rFonts w:hint="eastAsia" w:ascii="方正仿宋_GBK" w:hAnsi="方正仿宋_GBK" w:eastAsia="方正仿宋_GBK" w:cs="方正仿宋_GBK"/>
                <w:sz w:val="18"/>
                <w:szCs w:val="18"/>
                <w:lang w:bidi="ar-SA"/>
              </w:rPr>
              <w:t>分</w:t>
            </w:r>
          </w:p>
        </w:tc>
        <w:tc>
          <w:tcPr>
            <w:tcW w:w="597" w:type="dxa"/>
            <w:tcBorders>
              <w:top w:val="single" w:color="auto" w:sz="4" w:space="0"/>
              <w:left w:val="single" w:color="auto" w:sz="4" w:space="0"/>
              <w:bottom w:val="single" w:color="auto" w:sz="4" w:space="0"/>
              <w:right w:val="single" w:color="auto" w:sz="4" w:space="0"/>
            </w:tcBorders>
            <w:shd w:val="clear" w:color="auto" w:fill="auto"/>
            <w:tcMar>
              <w:top w:w="15" w:type="dxa"/>
              <w:left w:w="74" w:type="dxa"/>
              <w:bottom w:w="15" w:type="dxa"/>
              <w:right w:w="74" w:type="dxa"/>
            </w:tcMar>
            <w:vAlign w:val="center"/>
          </w:tcPr>
          <w:p w14:paraId="35D649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20" w:lineRule="exact"/>
              <w:ind w:left="0" w:leftChars="0" w:right="0" w:rightChars="0" w:firstLine="0" w:firstLineChars="0"/>
              <w:jc w:val="left"/>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color w:val="000000"/>
                <w:sz w:val="18"/>
                <w:szCs w:val="18"/>
              </w:rPr>
              <w:t>项目整体思路</w:t>
            </w:r>
          </w:p>
        </w:tc>
        <w:tc>
          <w:tcPr>
            <w:tcW w:w="4995"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6E71E78A">
            <w:pPr>
              <w:pStyle w:val="6"/>
              <w:keepNext w:val="0"/>
              <w:keepLines w:val="0"/>
              <w:pageBreakBefore w:val="0"/>
              <w:widowControl w:val="0"/>
              <w:kinsoku/>
              <w:wordWrap/>
              <w:overflowPunct/>
              <w:topLinePunct w:val="0"/>
              <w:autoSpaceDE/>
              <w:bidi w:val="0"/>
              <w:adjustRightInd/>
              <w:snapToGrid/>
              <w:spacing w:line="320" w:lineRule="exact"/>
              <w:ind w:left="0" w:firstLine="0" w:firstLineChars="0"/>
              <w:jc w:val="both"/>
              <w:textAlignment w:val="auto"/>
              <w:rPr>
                <w:rFonts w:hint="eastAsia" w:ascii="方正仿宋_GBK" w:hAnsi="方正仿宋_GBK" w:eastAsia="方正仿宋_GBK" w:cs="方正仿宋_GBK"/>
                <w:b/>
                <w:bCs/>
                <w:kern w:val="2"/>
                <w:sz w:val="18"/>
                <w:szCs w:val="18"/>
              </w:rPr>
            </w:pPr>
            <w:r>
              <w:rPr>
                <w:rFonts w:hint="eastAsia" w:ascii="方正仿宋_GBK" w:hAnsi="方正仿宋_GBK" w:eastAsia="方正仿宋_GBK" w:cs="方正仿宋_GBK"/>
                <w:color w:val="000000"/>
                <w:sz w:val="18"/>
                <w:szCs w:val="18"/>
              </w:rPr>
              <w:t>1.对本项目理解准确，完整详细、针对性强的，得10分；</w:t>
            </w:r>
            <w:r>
              <w:rPr>
                <w:rFonts w:hint="eastAsia" w:ascii="方正仿宋_GBK" w:hAnsi="方正仿宋_GBK" w:eastAsia="方正仿宋_GBK" w:cs="方正仿宋_GBK"/>
                <w:color w:val="000000"/>
                <w:sz w:val="18"/>
                <w:szCs w:val="18"/>
              </w:rPr>
              <w:br w:type="textWrapping"/>
            </w:r>
            <w:r>
              <w:rPr>
                <w:rFonts w:hint="eastAsia" w:ascii="方正仿宋_GBK" w:hAnsi="方正仿宋_GBK" w:eastAsia="方正仿宋_GBK" w:cs="方正仿宋_GBK"/>
                <w:color w:val="000000"/>
                <w:sz w:val="18"/>
                <w:szCs w:val="18"/>
              </w:rPr>
              <w:t>2.对本项目理解基本准确，完整详细、具有针对性的，得5分；</w:t>
            </w:r>
            <w:r>
              <w:rPr>
                <w:rFonts w:hint="eastAsia" w:ascii="方正仿宋_GBK" w:hAnsi="方正仿宋_GBK" w:eastAsia="方正仿宋_GBK" w:cs="方正仿宋_GBK"/>
                <w:color w:val="000000"/>
                <w:sz w:val="18"/>
                <w:szCs w:val="18"/>
              </w:rPr>
              <w:br w:type="textWrapping"/>
            </w:r>
            <w:r>
              <w:rPr>
                <w:rFonts w:hint="eastAsia" w:ascii="方正仿宋_GBK" w:hAnsi="方正仿宋_GBK" w:eastAsia="方正仿宋_GBK" w:cs="方正仿宋_GBK"/>
                <w:color w:val="000000"/>
                <w:sz w:val="18"/>
                <w:szCs w:val="18"/>
              </w:rPr>
              <w:t>3.对本项目理解有待提升，针对性有待改善，得2分；</w:t>
            </w:r>
            <w:r>
              <w:rPr>
                <w:rFonts w:hint="eastAsia" w:ascii="方正仿宋_GBK" w:hAnsi="方正仿宋_GBK" w:eastAsia="方正仿宋_GBK" w:cs="方正仿宋_GBK"/>
                <w:color w:val="000000"/>
                <w:sz w:val="18"/>
                <w:szCs w:val="18"/>
              </w:rPr>
              <w:br w:type="textWrapping"/>
            </w:r>
            <w:r>
              <w:rPr>
                <w:rFonts w:hint="eastAsia" w:ascii="方正仿宋_GBK" w:hAnsi="方正仿宋_GBK" w:eastAsia="方正仿宋_GBK" w:cs="方正仿宋_GBK"/>
                <w:color w:val="000000"/>
                <w:sz w:val="18"/>
                <w:szCs w:val="18"/>
              </w:rPr>
              <w:t>4.方案不可行或者未提供得0分。</w:t>
            </w:r>
          </w:p>
        </w:tc>
        <w:tc>
          <w:tcPr>
            <w:tcW w:w="849" w:type="dxa"/>
            <w:tcBorders>
              <w:top w:val="single" w:color="auto" w:sz="4" w:space="0"/>
              <w:left w:val="single" w:color="auto" w:sz="4" w:space="0"/>
              <w:right w:val="single" w:color="auto" w:sz="4" w:space="0"/>
            </w:tcBorders>
            <w:tcMar>
              <w:top w:w="15" w:type="dxa"/>
              <w:left w:w="74" w:type="dxa"/>
              <w:bottom w:w="15" w:type="dxa"/>
              <w:right w:w="74" w:type="dxa"/>
            </w:tcMar>
            <w:vAlign w:val="center"/>
          </w:tcPr>
          <w:p w14:paraId="478A1F44">
            <w:pPr>
              <w:pStyle w:val="6"/>
              <w:keepNext w:val="0"/>
              <w:keepLines w:val="0"/>
              <w:pageBreakBefore w:val="0"/>
              <w:kinsoku/>
              <w:wordWrap/>
              <w:overflowPunct/>
              <w:topLinePunct w:val="0"/>
              <w:autoSpaceDE/>
              <w:bidi w:val="0"/>
              <w:adjustRightInd/>
              <w:snapToGrid/>
              <w:spacing w:line="520" w:lineRule="exact"/>
              <w:ind w:left="0" w:firstLine="0" w:firstLineChars="0"/>
              <w:jc w:val="both"/>
              <w:textAlignment w:val="auto"/>
              <w:rPr>
                <w:rFonts w:ascii="方正仿宋_GBK" w:hAnsi="方正仿宋_GBK" w:eastAsia="方正仿宋_GBK" w:cs="方正仿宋_GBK"/>
                <w:kern w:val="2"/>
              </w:rPr>
            </w:pPr>
          </w:p>
        </w:tc>
      </w:tr>
      <w:tr w14:paraId="4588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202" w:type="dxa"/>
            <w:vMerge w:val="continue"/>
            <w:tcBorders>
              <w:left w:val="single" w:color="auto" w:sz="4" w:space="0"/>
              <w:bottom w:val="single" w:color="auto" w:sz="4" w:space="0"/>
              <w:right w:val="single" w:color="auto" w:sz="4" w:space="0"/>
            </w:tcBorders>
            <w:tcMar>
              <w:top w:w="15" w:type="dxa"/>
              <w:left w:w="74" w:type="dxa"/>
              <w:bottom w:w="15" w:type="dxa"/>
              <w:right w:w="74" w:type="dxa"/>
            </w:tcMar>
            <w:vAlign w:val="center"/>
          </w:tcPr>
          <w:p w14:paraId="6B2CAC1B">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p>
        </w:tc>
        <w:tc>
          <w:tcPr>
            <w:tcW w:w="815" w:type="dxa"/>
            <w:vMerge w:val="continue"/>
            <w:tcBorders>
              <w:left w:val="single" w:color="auto" w:sz="4" w:space="0"/>
              <w:bottom w:val="single" w:color="auto" w:sz="4" w:space="0"/>
              <w:right w:val="single" w:color="auto" w:sz="4" w:space="0"/>
            </w:tcBorders>
            <w:tcMar>
              <w:top w:w="15" w:type="dxa"/>
              <w:left w:w="74" w:type="dxa"/>
              <w:bottom w:w="15" w:type="dxa"/>
              <w:right w:w="74" w:type="dxa"/>
            </w:tcMar>
            <w:vAlign w:val="center"/>
          </w:tcPr>
          <w:p w14:paraId="2CAD5774">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p>
        </w:tc>
        <w:tc>
          <w:tcPr>
            <w:tcW w:w="597" w:type="dxa"/>
            <w:tcBorders>
              <w:top w:val="single" w:color="auto" w:sz="4" w:space="0"/>
              <w:left w:val="single" w:color="auto" w:sz="4" w:space="0"/>
              <w:bottom w:val="single" w:color="auto" w:sz="4" w:space="0"/>
              <w:right w:val="single" w:color="auto" w:sz="4" w:space="0"/>
            </w:tcBorders>
            <w:shd w:val="clear" w:color="auto" w:fill="auto"/>
            <w:tcMar>
              <w:top w:w="15" w:type="dxa"/>
              <w:left w:w="74" w:type="dxa"/>
              <w:bottom w:w="15" w:type="dxa"/>
              <w:right w:w="74" w:type="dxa"/>
            </w:tcMar>
            <w:vAlign w:val="center"/>
          </w:tcPr>
          <w:p w14:paraId="183C4F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20" w:lineRule="exact"/>
              <w:ind w:left="0" w:leftChars="0" w:right="0" w:rightChars="0" w:firstLine="0" w:firstLineChars="0"/>
              <w:jc w:val="left"/>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color w:val="000000"/>
                <w:sz w:val="18"/>
                <w:szCs w:val="18"/>
              </w:rPr>
              <w:t>具体实施方案</w:t>
            </w:r>
          </w:p>
        </w:tc>
        <w:tc>
          <w:tcPr>
            <w:tcW w:w="4995"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152117F7">
            <w:pPr>
              <w:pStyle w:val="6"/>
              <w:keepNext w:val="0"/>
              <w:keepLines w:val="0"/>
              <w:pageBreakBefore w:val="0"/>
              <w:widowControl w:val="0"/>
              <w:kinsoku/>
              <w:wordWrap/>
              <w:overflowPunct/>
              <w:topLinePunct w:val="0"/>
              <w:autoSpaceDE/>
              <w:bidi w:val="0"/>
              <w:adjustRightInd/>
              <w:snapToGrid/>
              <w:spacing w:line="320" w:lineRule="exact"/>
              <w:ind w:left="0" w:firstLine="0" w:firstLineChars="0"/>
              <w:jc w:val="both"/>
              <w:textAlignment w:val="auto"/>
              <w:rPr>
                <w:rFonts w:hint="eastAsia" w:ascii="方正仿宋_GBK" w:hAnsi="方正仿宋_GBK" w:eastAsia="方正仿宋_GBK" w:cs="方正仿宋_GBK"/>
                <w:b/>
                <w:bCs/>
                <w:kern w:val="2"/>
                <w:sz w:val="18"/>
                <w:szCs w:val="18"/>
              </w:rPr>
            </w:pPr>
            <w:r>
              <w:rPr>
                <w:rFonts w:hint="eastAsia" w:ascii="方正仿宋_GBK" w:hAnsi="方正仿宋_GBK" w:eastAsia="方正仿宋_GBK" w:cs="方正仿宋_GBK"/>
                <w:color w:val="000000"/>
                <w:sz w:val="18"/>
                <w:szCs w:val="18"/>
              </w:rPr>
              <w:t>1.方案具有计划性、针对性、可行性，内容完整详实，表述清晰，进度安排合理，满足项目需求的，得1</w:t>
            </w:r>
            <w:r>
              <w:rPr>
                <w:rFonts w:hint="eastAsia" w:ascii="方正仿宋_GBK" w:hAnsi="方正仿宋_GBK" w:eastAsia="方正仿宋_GBK" w:cs="方正仿宋_GBK"/>
                <w:color w:val="000000"/>
                <w:sz w:val="18"/>
                <w:szCs w:val="18"/>
                <w:lang w:val="en-US" w:eastAsia="zh-CN"/>
              </w:rPr>
              <w:t>5</w:t>
            </w:r>
            <w:r>
              <w:rPr>
                <w:rFonts w:hint="eastAsia" w:ascii="方正仿宋_GBK" w:hAnsi="方正仿宋_GBK" w:eastAsia="方正仿宋_GBK" w:cs="方正仿宋_GBK"/>
                <w:color w:val="000000"/>
                <w:sz w:val="18"/>
                <w:szCs w:val="18"/>
              </w:rPr>
              <w:t>分；</w:t>
            </w:r>
            <w:r>
              <w:rPr>
                <w:rFonts w:hint="eastAsia" w:ascii="方正仿宋_GBK" w:hAnsi="方正仿宋_GBK" w:eastAsia="方正仿宋_GBK" w:cs="方正仿宋_GBK"/>
                <w:color w:val="000000"/>
                <w:sz w:val="18"/>
                <w:szCs w:val="18"/>
              </w:rPr>
              <w:br w:type="textWrapping"/>
            </w:r>
            <w:r>
              <w:rPr>
                <w:rFonts w:hint="eastAsia" w:ascii="方正仿宋_GBK" w:hAnsi="方正仿宋_GBK" w:eastAsia="方正仿宋_GBK" w:cs="方正仿宋_GBK"/>
                <w:color w:val="000000"/>
                <w:sz w:val="18"/>
                <w:szCs w:val="18"/>
              </w:rPr>
              <w:t>2.方案具有一定的可行性、针对性，基本满足项目需求的，得</w:t>
            </w:r>
            <w:r>
              <w:rPr>
                <w:rFonts w:hint="eastAsia" w:ascii="方正仿宋_GBK" w:hAnsi="方正仿宋_GBK" w:eastAsia="方正仿宋_GBK" w:cs="方正仿宋_GBK"/>
                <w:color w:val="000000"/>
                <w:sz w:val="18"/>
                <w:szCs w:val="18"/>
                <w:lang w:val="en-US" w:eastAsia="zh-CN"/>
              </w:rPr>
              <w:t>10</w:t>
            </w:r>
            <w:r>
              <w:rPr>
                <w:rFonts w:hint="eastAsia" w:ascii="方正仿宋_GBK" w:hAnsi="方正仿宋_GBK" w:eastAsia="方正仿宋_GBK" w:cs="方正仿宋_GBK"/>
                <w:color w:val="000000"/>
                <w:sz w:val="18"/>
                <w:szCs w:val="18"/>
              </w:rPr>
              <w:t>分；</w:t>
            </w:r>
            <w:r>
              <w:rPr>
                <w:rFonts w:hint="eastAsia" w:ascii="方正仿宋_GBK" w:hAnsi="方正仿宋_GBK" w:eastAsia="方正仿宋_GBK" w:cs="方正仿宋_GBK"/>
                <w:color w:val="000000"/>
                <w:sz w:val="18"/>
                <w:szCs w:val="18"/>
              </w:rPr>
              <w:br w:type="textWrapping"/>
            </w:r>
            <w:r>
              <w:rPr>
                <w:rFonts w:hint="eastAsia" w:ascii="方正仿宋_GBK" w:hAnsi="方正仿宋_GBK" w:eastAsia="方正仿宋_GBK" w:cs="方正仿宋_GBK"/>
                <w:color w:val="000000"/>
                <w:sz w:val="18"/>
                <w:szCs w:val="18"/>
              </w:rPr>
              <w:t>3.方案一定程度偏离项目需求的，得</w:t>
            </w:r>
            <w:r>
              <w:rPr>
                <w:rFonts w:hint="eastAsia" w:ascii="方正仿宋_GBK" w:hAnsi="方正仿宋_GBK" w:eastAsia="方正仿宋_GBK" w:cs="方正仿宋_GBK"/>
                <w:color w:val="000000"/>
                <w:sz w:val="18"/>
                <w:szCs w:val="18"/>
                <w:lang w:val="en-US" w:eastAsia="zh-CN"/>
              </w:rPr>
              <w:t>5</w:t>
            </w:r>
            <w:r>
              <w:rPr>
                <w:rFonts w:hint="eastAsia" w:ascii="方正仿宋_GBK" w:hAnsi="方正仿宋_GBK" w:eastAsia="方正仿宋_GBK" w:cs="方正仿宋_GBK"/>
                <w:color w:val="000000"/>
                <w:sz w:val="18"/>
                <w:szCs w:val="18"/>
              </w:rPr>
              <w:t>分；</w:t>
            </w:r>
            <w:r>
              <w:rPr>
                <w:rFonts w:hint="eastAsia" w:ascii="方正仿宋_GBK" w:hAnsi="方正仿宋_GBK" w:eastAsia="方正仿宋_GBK" w:cs="方正仿宋_GBK"/>
                <w:color w:val="000000"/>
                <w:sz w:val="18"/>
                <w:szCs w:val="18"/>
              </w:rPr>
              <w:br w:type="textWrapping"/>
            </w:r>
            <w:r>
              <w:rPr>
                <w:rFonts w:hint="eastAsia" w:ascii="方正仿宋_GBK" w:hAnsi="方正仿宋_GBK" w:eastAsia="方正仿宋_GBK" w:cs="方正仿宋_GBK"/>
                <w:color w:val="000000"/>
                <w:sz w:val="18"/>
                <w:szCs w:val="18"/>
              </w:rPr>
              <w:t>4.未提供或不满足项目需求的得0分。</w:t>
            </w:r>
          </w:p>
        </w:tc>
        <w:tc>
          <w:tcPr>
            <w:tcW w:w="849" w:type="dxa"/>
            <w:tcBorders>
              <w:left w:val="single" w:color="auto" w:sz="4" w:space="0"/>
              <w:right w:val="single" w:color="auto" w:sz="4" w:space="0"/>
            </w:tcBorders>
            <w:tcMar>
              <w:top w:w="15" w:type="dxa"/>
              <w:left w:w="74" w:type="dxa"/>
              <w:bottom w:w="15" w:type="dxa"/>
              <w:right w:w="74" w:type="dxa"/>
            </w:tcMar>
            <w:vAlign w:val="center"/>
          </w:tcPr>
          <w:p w14:paraId="281A8A80">
            <w:pPr>
              <w:pStyle w:val="6"/>
              <w:keepNext w:val="0"/>
              <w:keepLines w:val="0"/>
              <w:pageBreakBefore w:val="0"/>
              <w:kinsoku/>
              <w:wordWrap/>
              <w:overflowPunct/>
              <w:topLinePunct w:val="0"/>
              <w:autoSpaceDE/>
              <w:bidi w:val="0"/>
              <w:adjustRightInd/>
              <w:snapToGrid/>
              <w:spacing w:line="520" w:lineRule="exact"/>
              <w:ind w:left="0" w:firstLine="0" w:firstLineChars="0"/>
              <w:jc w:val="both"/>
              <w:textAlignment w:val="auto"/>
              <w:rPr>
                <w:rFonts w:ascii="方正仿宋_GBK" w:hAnsi="方正仿宋_GBK" w:eastAsia="方正仿宋_GBK" w:cs="方正仿宋_GBK"/>
                <w:kern w:val="2"/>
              </w:rPr>
            </w:pPr>
          </w:p>
        </w:tc>
      </w:tr>
      <w:tr w14:paraId="0FF4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1202" w:type="dxa"/>
            <w:vMerge w:val="continue"/>
            <w:tcBorders>
              <w:left w:val="single" w:color="auto" w:sz="4" w:space="0"/>
              <w:bottom w:val="single" w:color="auto" w:sz="4" w:space="0"/>
              <w:right w:val="single" w:color="auto" w:sz="4" w:space="0"/>
            </w:tcBorders>
            <w:tcMar>
              <w:top w:w="15" w:type="dxa"/>
              <w:left w:w="74" w:type="dxa"/>
              <w:bottom w:w="15" w:type="dxa"/>
              <w:right w:w="74" w:type="dxa"/>
            </w:tcMar>
            <w:vAlign w:val="center"/>
          </w:tcPr>
          <w:p w14:paraId="04DA208A">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p>
        </w:tc>
        <w:tc>
          <w:tcPr>
            <w:tcW w:w="815" w:type="dxa"/>
            <w:vMerge w:val="continue"/>
            <w:tcBorders>
              <w:left w:val="single" w:color="auto" w:sz="4" w:space="0"/>
              <w:bottom w:val="single" w:color="auto" w:sz="4" w:space="0"/>
              <w:right w:val="single" w:color="auto" w:sz="4" w:space="0"/>
            </w:tcBorders>
            <w:tcMar>
              <w:top w:w="15" w:type="dxa"/>
              <w:left w:w="74" w:type="dxa"/>
              <w:bottom w:w="15" w:type="dxa"/>
              <w:right w:w="74" w:type="dxa"/>
            </w:tcMar>
            <w:vAlign w:val="center"/>
          </w:tcPr>
          <w:p w14:paraId="6BD8A92F">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p>
        </w:tc>
        <w:tc>
          <w:tcPr>
            <w:tcW w:w="597" w:type="dxa"/>
            <w:tcBorders>
              <w:top w:val="single" w:color="auto" w:sz="4" w:space="0"/>
              <w:left w:val="single" w:color="auto" w:sz="4" w:space="0"/>
              <w:bottom w:val="single" w:color="auto" w:sz="4" w:space="0"/>
              <w:right w:val="single" w:color="auto" w:sz="4" w:space="0"/>
            </w:tcBorders>
            <w:shd w:val="clear" w:color="auto" w:fill="auto"/>
            <w:tcMar>
              <w:top w:w="15" w:type="dxa"/>
              <w:left w:w="74" w:type="dxa"/>
              <w:bottom w:w="15" w:type="dxa"/>
              <w:right w:w="74" w:type="dxa"/>
            </w:tcMar>
            <w:vAlign w:val="center"/>
          </w:tcPr>
          <w:p w14:paraId="7EDC22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20" w:lineRule="exact"/>
              <w:ind w:left="0" w:leftChars="0" w:right="0" w:rightChars="0" w:firstLine="0" w:firstLineChars="0"/>
              <w:jc w:val="left"/>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color w:val="000000"/>
                <w:sz w:val="18"/>
                <w:szCs w:val="18"/>
              </w:rPr>
              <w:t>质量保证措施</w:t>
            </w:r>
          </w:p>
        </w:tc>
        <w:tc>
          <w:tcPr>
            <w:tcW w:w="4995"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00649498">
            <w:pPr>
              <w:pStyle w:val="6"/>
              <w:keepNext w:val="0"/>
              <w:keepLines w:val="0"/>
              <w:pageBreakBefore w:val="0"/>
              <w:widowControl w:val="0"/>
              <w:kinsoku/>
              <w:wordWrap/>
              <w:overflowPunct/>
              <w:topLinePunct w:val="0"/>
              <w:autoSpaceDE/>
              <w:bidi w:val="0"/>
              <w:adjustRightInd/>
              <w:snapToGrid/>
              <w:spacing w:line="320" w:lineRule="exact"/>
              <w:ind w:left="0" w:firstLine="0" w:firstLineChars="0"/>
              <w:jc w:val="both"/>
              <w:textAlignment w:val="auto"/>
              <w:rPr>
                <w:rFonts w:hint="eastAsia" w:ascii="方正仿宋_GBK" w:hAnsi="方正仿宋_GBK" w:eastAsia="方正仿宋_GBK" w:cs="方正仿宋_GBK"/>
                <w:b/>
                <w:bCs/>
                <w:kern w:val="2"/>
                <w:sz w:val="18"/>
                <w:szCs w:val="18"/>
              </w:rPr>
            </w:pPr>
            <w:r>
              <w:rPr>
                <w:rFonts w:hint="eastAsia" w:ascii="方正仿宋_GBK" w:hAnsi="方正仿宋_GBK" w:eastAsia="方正仿宋_GBK" w:cs="方正仿宋_GBK"/>
                <w:color w:val="000000"/>
                <w:sz w:val="18"/>
                <w:szCs w:val="18"/>
              </w:rPr>
              <w:t>根据采购文件要求及供应商提供的包括质量目标、关键工序控制等，进行综合评分：</w:t>
            </w:r>
            <w:r>
              <w:rPr>
                <w:rFonts w:hint="eastAsia" w:ascii="方正仿宋_GBK" w:hAnsi="方正仿宋_GBK" w:eastAsia="方正仿宋_GBK" w:cs="方正仿宋_GBK"/>
                <w:color w:val="000000"/>
                <w:sz w:val="18"/>
                <w:szCs w:val="18"/>
              </w:rPr>
              <w:br w:type="textWrapping"/>
            </w:r>
            <w:r>
              <w:rPr>
                <w:rFonts w:hint="eastAsia" w:ascii="方正仿宋_GBK" w:hAnsi="方正仿宋_GBK" w:eastAsia="方正仿宋_GBK" w:cs="方正仿宋_GBK"/>
                <w:color w:val="000000"/>
                <w:sz w:val="18"/>
                <w:szCs w:val="18"/>
              </w:rPr>
              <w:t>1.项目成果质量控制具有全面保障措施、制度的，质量保证措施优于本项目采购需求，完整详细，可行性、实用性、针对性强，得1</w:t>
            </w:r>
            <w:r>
              <w:rPr>
                <w:rFonts w:hint="eastAsia" w:ascii="方正仿宋_GBK" w:hAnsi="方正仿宋_GBK" w:eastAsia="方正仿宋_GBK" w:cs="方正仿宋_GBK"/>
                <w:color w:val="000000"/>
                <w:sz w:val="18"/>
                <w:szCs w:val="18"/>
                <w:lang w:val="en-US" w:eastAsia="zh-CN"/>
              </w:rPr>
              <w:t>5</w:t>
            </w:r>
            <w:r>
              <w:rPr>
                <w:rFonts w:hint="eastAsia" w:ascii="方正仿宋_GBK" w:hAnsi="方正仿宋_GBK" w:eastAsia="方正仿宋_GBK" w:cs="方正仿宋_GBK"/>
                <w:sz w:val="18"/>
                <w:szCs w:val="18"/>
              </w:rPr>
              <w:t>分；</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2.成果质量控制措施可基本保障项目顺利完成的，质量保证措施适合本项目采购需求，完整详细，具有可行性、实用性和针对性，得</w:t>
            </w:r>
            <w:r>
              <w:rPr>
                <w:rFonts w:hint="eastAsia" w:ascii="方正仿宋_GBK" w:hAnsi="方正仿宋_GBK" w:eastAsia="方正仿宋_GBK" w:cs="方正仿宋_GBK"/>
                <w:sz w:val="18"/>
                <w:szCs w:val="18"/>
                <w:lang w:val="en-US" w:eastAsia="zh-CN"/>
              </w:rPr>
              <w:t>10</w:t>
            </w:r>
            <w:r>
              <w:rPr>
                <w:rFonts w:hint="eastAsia" w:ascii="方正仿宋_GBK" w:hAnsi="方正仿宋_GBK" w:eastAsia="方正仿宋_GBK" w:cs="方正仿宋_GBK"/>
                <w:sz w:val="18"/>
                <w:szCs w:val="18"/>
              </w:rPr>
              <w:t>分；</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  3.成果质量控制措施有待完善的，质量保证措施基本适合本项目采购需求，完整详细，可行性、实用性、针对性有待改善，得</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分；</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color w:val="000000"/>
                <w:sz w:val="18"/>
                <w:szCs w:val="18"/>
              </w:rPr>
              <w:t> 4.未提供或不满足项目需求的，则不得分。</w:t>
            </w:r>
          </w:p>
        </w:tc>
        <w:tc>
          <w:tcPr>
            <w:tcW w:w="849" w:type="dxa"/>
            <w:tcBorders>
              <w:left w:val="single" w:color="auto" w:sz="4" w:space="0"/>
              <w:bottom w:val="single" w:color="auto" w:sz="4" w:space="0"/>
              <w:right w:val="single" w:color="auto" w:sz="4" w:space="0"/>
            </w:tcBorders>
            <w:tcMar>
              <w:top w:w="15" w:type="dxa"/>
              <w:left w:w="74" w:type="dxa"/>
              <w:bottom w:w="15" w:type="dxa"/>
              <w:right w:w="74" w:type="dxa"/>
            </w:tcMar>
            <w:vAlign w:val="center"/>
          </w:tcPr>
          <w:p w14:paraId="01863100">
            <w:pPr>
              <w:pStyle w:val="6"/>
              <w:keepNext w:val="0"/>
              <w:keepLines w:val="0"/>
              <w:pageBreakBefore w:val="0"/>
              <w:kinsoku/>
              <w:wordWrap/>
              <w:overflowPunct/>
              <w:topLinePunct w:val="0"/>
              <w:autoSpaceDE/>
              <w:bidi w:val="0"/>
              <w:adjustRightInd/>
              <w:snapToGrid/>
              <w:spacing w:line="520" w:lineRule="exact"/>
              <w:ind w:left="0" w:firstLine="0" w:firstLineChars="0"/>
              <w:jc w:val="both"/>
              <w:textAlignment w:val="auto"/>
              <w:rPr>
                <w:rFonts w:ascii="方正仿宋_GBK" w:hAnsi="方正仿宋_GBK" w:eastAsia="方正仿宋_GBK" w:cs="方正仿宋_GBK"/>
                <w:kern w:val="2"/>
              </w:rPr>
            </w:pPr>
          </w:p>
        </w:tc>
      </w:tr>
      <w:tr w14:paraId="7DEA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202"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54F5C8D7">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团队成员</w:t>
            </w:r>
          </w:p>
          <w:p w14:paraId="400F51C9">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（权重10%）</w:t>
            </w:r>
          </w:p>
        </w:tc>
        <w:tc>
          <w:tcPr>
            <w:tcW w:w="815"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14995999">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10分</w:t>
            </w:r>
          </w:p>
        </w:tc>
        <w:tc>
          <w:tcPr>
            <w:tcW w:w="5592" w:type="dxa"/>
            <w:gridSpan w:val="2"/>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22DAE5DC">
            <w:pPr>
              <w:keepNext w:val="0"/>
              <w:keepLines w:val="0"/>
              <w:pageBreakBefore w:val="0"/>
              <w:widowControl w:val="0"/>
              <w:kinsoku/>
              <w:wordWrap/>
              <w:overflowPunct/>
              <w:topLinePunct w:val="0"/>
              <w:autoSpaceDE/>
              <w:bidi w:val="0"/>
              <w:adjustRightInd/>
              <w:snapToGrid/>
              <w:spacing w:line="320" w:lineRule="exact"/>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供应商针对本项目拟配置的明确项目负责人为从事水资源相关专业高级工程师及以上得</w:t>
            </w:r>
            <w:r>
              <w:rPr>
                <w:rFonts w:hint="eastAsia" w:ascii="方正仿宋_GBK" w:hAnsi="方正仿宋_GBK" w:eastAsia="方正仿宋_GBK" w:cs="方正仿宋_GBK"/>
                <w:sz w:val="18"/>
                <w:szCs w:val="18"/>
                <w:lang w:val="en-US" w:eastAsia="zh-CN" w:bidi="ar-SA"/>
              </w:rPr>
              <w:t>4</w:t>
            </w:r>
            <w:r>
              <w:rPr>
                <w:rFonts w:hint="eastAsia" w:ascii="方正仿宋_GBK" w:hAnsi="方正仿宋_GBK" w:eastAsia="方正仿宋_GBK" w:cs="方正仿宋_GBK"/>
                <w:sz w:val="18"/>
                <w:szCs w:val="18"/>
                <w:lang w:bidi="ar-SA"/>
              </w:rPr>
              <w:t>分；每增加</w:t>
            </w:r>
            <w:r>
              <w:rPr>
                <w:rFonts w:hint="eastAsia" w:ascii="方正仿宋_GBK" w:hAnsi="方正仿宋_GBK" w:eastAsia="方正仿宋_GBK" w:cs="方正仿宋_GBK"/>
                <w:sz w:val="18"/>
                <w:szCs w:val="18"/>
                <w:lang w:val="en-US" w:eastAsia="zh-CN" w:bidi="ar-SA"/>
              </w:rPr>
              <w:t>1</w:t>
            </w:r>
            <w:r>
              <w:rPr>
                <w:rFonts w:hint="eastAsia" w:ascii="方正仿宋_GBK" w:hAnsi="方正仿宋_GBK" w:eastAsia="方正仿宋_GBK" w:cs="方正仿宋_GBK"/>
                <w:sz w:val="18"/>
                <w:szCs w:val="18"/>
                <w:lang w:bidi="ar-SA"/>
              </w:rPr>
              <w:t>名从事水资源相关专业工程师及以上职称的得2分，最多</w:t>
            </w:r>
            <w:r>
              <w:rPr>
                <w:rFonts w:hint="eastAsia" w:ascii="方正仿宋_GBK" w:hAnsi="方正仿宋_GBK" w:eastAsia="方正仿宋_GBK" w:cs="方正仿宋_GBK"/>
                <w:sz w:val="18"/>
                <w:szCs w:val="18"/>
                <w:lang w:val="en-US" w:eastAsia="zh-CN" w:bidi="ar-SA"/>
              </w:rPr>
              <w:t>6</w:t>
            </w:r>
            <w:r>
              <w:rPr>
                <w:rFonts w:hint="eastAsia" w:ascii="方正仿宋_GBK" w:hAnsi="方正仿宋_GBK" w:eastAsia="方正仿宋_GBK" w:cs="方正仿宋_GBK"/>
                <w:sz w:val="18"/>
                <w:szCs w:val="18"/>
                <w:lang w:bidi="ar-SA"/>
              </w:rPr>
              <w:t>分。</w:t>
            </w:r>
          </w:p>
          <w:p w14:paraId="1A309A0E">
            <w:pPr>
              <w:keepNext w:val="0"/>
              <w:keepLines w:val="0"/>
              <w:pageBreakBefore w:val="0"/>
              <w:widowControl w:val="0"/>
              <w:kinsoku/>
              <w:wordWrap/>
              <w:overflowPunct/>
              <w:topLinePunct w:val="0"/>
              <w:autoSpaceDE/>
              <w:autoSpaceDN w:val="0"/>
              <w:bidi w:val="0"/>
              <w:adjustRightInd/>
              <w:snapToGrid/>
              <w:spacing w:line="320" w:lineRule="exact"/>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注：提供有效的身份证、职称证、注册资格证（如有）</w:t>
            </w:r>
            <w:r>
              <w:rPr>
                <w:rFonts w:hint="eastAsia" w:ascii="方正仿宋_GBK" w:hAnsi="方正仿宋_GBK" w:eastAsia="方正仿宋_GBK" w:cs="方正仿宋_GBK"/>
                <w:sz w:val="18"/>
                <w:szCs w:val="18"/>
                <w:lang w:eastAsia="zh-CN" w:bidi="ar-SA"/>
              </w:rPr>
              <w:t>、</w:t>
            </w:r>
            <w:r>
              <w:rPr>
                <w:rFonts w:hint="eastAsia" w:ascii="方正仿宋_GBK" w:hAnsi="方正仿宋_GBK" w:eastAsia="方正仿宋_GBK" w:cs="方正仿宋_GBK"/>
                <w:sz w:val="18"/>
                <w:szCs w:val="18"/>
                <w:lang w:val="en-US" w:eastAsia="zh-CN" w:bidi="ar-SA"/>
              </w:rPr>
              <w:t>社保</w:t>
            </w:r>
            <w:r>
              <w:rPr>
                <w:rFonts w:hint="eastAsia" w:ascii="方正仿宋_GBK" w:hAnsi="方正仿宋_GBK" w:eastAsia="方正仿宋_GBK" w:cs="方正仿宋_GBK"/>
                <w:sz w:val="18"/>
                <w:szCs w:val="18"/>
                <w:lang w:bidi="ar-SA"/>
              </w:rPr>
              <w:t>等相关证明材料复印件。</w:t>
            </w:r>
          </w:p>
        </w:tc>
        <w:tc>
          <w:tcPr>
            <w:tcW w:w="849"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78ED2BBA">
            <w:pPr>
              <w:keepNext w:val="0"/>
              <w:keepLines w:val="0"/>
              <w:pageBreakBefore w:val="0"/>
              <w:kinsoku/>
              <w:wordWrap/>
              <w:overflowPunct/>
              <w:topLinePunct w:val="0"/>
              <w:autoSpaceDE/>
              <w:autoSpaceDN w:val="0"/>
              <w:bidi w:val="0"/>
              <w:adjustRightInd/>
              <w:snapToGrid/>
              <w:spacing w:line="520" w:lineRule="exact"/>
              <w:textAlignment w:val="auto"/>
              <w:rPr>
                <w:rFonts w:ascii="方正仿宋_GBK" w:hAnsi="方正仿宋_GBK" w:eastAsia="方正仿宋_GBK" w:cs="方正仿宋_GBK"/>
                <w:b/>
                <w:bCs/>
                <w:sz w:val="24"/>
                <w:szCs w:val="24"/>
              </w:rPr>
            </w:pPr>
          </w:p>
        </w:tc>
      </w:tr>
      <w:tr w14:paraId="6D8C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1202"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69EAC003">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履约经验</w:t>
            </w:r>
          </w:p>
          <w:p w14:paraId="12C6E771">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（权重10%）</w:t>
            </w:r>
          </w:p>
        </w:tc>
        <w:tc>
          <w:tcPr>
            <w:tcW w:w="815"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7AFA9672">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10分</w:t>
            </w:r>
          </w:p>
        </w:tc>
        <w:tc>
          <w:tcPr>
            <w:tcW w:w="5592" w:type="dxa"/>
            <w:gridSpan w:val="2"/>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446D8321">
            <w:pPr>
              <w:keepNext w:val="0"/>
              <w:keepLines w:val="0"/>
              <w:pageBreakBefore w:val="0"/>
              <w:widowControl w:val="0"/>
              <w:kinsoku/>
              <w:wordWrap/>
              <w:overflowPunct/>
              <w:topLinePunct w:val="0"/>
              <w:autoSpaceDE/>
              <w:bidi w:val="0"/>
              <w:adjustRightInd/>
              <w:snapToGrid/>
              <w:spacing w:line="320" w:lineRule="exact"/>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供应商近三年来（20</w:t>
            </w:r>
            <w:r>
              <w:rPr>
                <w:rFonts w:hint="eastAsia" w:ascii="方正仿宋_GBK" w:hAnsi="方正仿宋_GBK" w:eastAsia="方正仿宋_GBK" w:cs="方正仿宋_GBK"/>
                <w:sz w:val="18"/>
                <w:szCs w:val="18"/>
                <w:lang w:val="en-US" w:eastAsia="zh-CN" w:bidi="ar-SA"/>
              </w:rPr>
              <w:t>23</w:t>
            </w:r>
            <w:r>
              <w:rPr>
                <w:rFonts w:hint="eastAsia" w:ascii="方正仿宋_GBK" w:hAnsi="方正仿宋_GBK" w:eastAsia="方正仿宋_GBK" w:cs="方正仿宋_GBK"/>
                <w:sz w:val="18"/>
                <w:szCs w:val="18"/>
                <w:lang w:bidi="ar-SA"/>
              </w:rPr>
              <w:t>年1月1日至今）承担过类似项目业绩的，每提供一个得2分，</w:t>
            </w:r>
            <w:r>
              <w:rPr>
                <w:rFonts w:hint="eastAsia" w:ascii="方正仿宋_GBK" w:hAnsi="方正仿宋_GBK" w:eastAsia="方正仿宋_GBK" w:cs="方正仿宋_GBK"/>
                <w:sz w:val="18"/>
                <w:szCs w:val="18"/>
                <w:lang w:val="en-US" w:eastAsia="zh-CN" w:bidi="ar-SA"/>
              </w:rPr>
              <w:t>满分10分</w:t>
            </w:r>
            <w:r>
              <w:rPr>
                <w:rFonts w:hint="eastAsia" w:ascii="方正仿宋_GBK" w:hAnsi="方正仿宋_GBK" w:eastAsia="方正仿宋_GBK" w:cs="方正仿宋_GBK"/>
                <w:sz w:val="18"/>
                <w:szCs w:val="18"/>
                <w:lang w:bidi="ar-SA"/>
              </w:rPr>
              <w:t>。</w:t>
            </w:r>
          </w:p>
          <w:p w14:paraId="744EA45F">
            <w:pPr>
              <w:keepNext w:val="0"/>
              <w:keepLines w:val="0"/>
              <w:pageBreakBefore w:val="0"/>
              <w:widowControl w:val="0"/>
              <w:kinsoku/>
              <w:wordWrap/>
              <w:overflowPunct/>
              <w:topLinePunct w:val="0"/>
              <w:autoSpaceDE/>
              <w:autoSpaceDN w:val="0"/>
              <w:bidi w:val="0"/>
              <w:adjustRightInd/>
              <w:snapToGrid/>
              <w:spacing w:line="320" w:lineRule="exact"/>
              <w:textAlignment w:val="auto"/>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b/>
                <w:bCs/>
                <w:sz w:val="18"/>
                <w:szCs w:val="18"/>
                <w:lang w:bidi="ar-SA"/>
              </w:rPr>
              <w:t>注</w:t>
            </w:r>
            <w:r>
              <w:rPr>
                <w:rFonts w:hint="eastAsia" w:ascii="方正仿宋_GBK" w:hAnsi="方正仿宋_GBK" w:eastAsia="方正仿宋_GBK" w:cs="方正仿宋_GBK"/>
                <w:sz w:val="18"/>
                <w:szCs w:val="18"/>
                <w:lang w:bidi="ar-SA"/>
              </w:rPr>
              <w:t>：提供合同复印件（加盖单位公章），合同复印件必须包括项目名称、合同甲乙双方单位名称、甲乙双方签字盖章、合同内容、合同金额、合同签订时间等关键页。</w:t>
            </w:r>
          </w:p>
        </w:tc>
        <w:tc>
          <w:tcPr>
            <w:tcW w:w="849" w:type="dxa"/>
            <w:tcBorders>
              <w:top w:val="single" w:color="auto" w:sz="4" w:space="0"/>
              <w:left w:val="single" w:color="auto" w:sz="4" w:space="0"/>
              <w:bottom w:val="single" w:color="auto" w:sz="4" w:space="0"/>
              <w:right w:val="single" w:color="auto" w:sz="4" w:space="0"/>
            </w:tcBorders>
            <w:tcMar>
              <w:top w:w="15" w:type="dxa"/>
              <w:left w:w="74" w:type="dxa"/>
              <w:bottom w:w="15" w:type="dxa"/>
              <w:right w:w="74" w:type="dxa"/>
            </w:tcMar>
            <w:vAlign w:val="center"/>
          </w:tcPr>
          <w:p w14:paraId="6DFBB97C">
            <w:pPr>
              <w:keepNext w:val="0"/>
              <w:keepLines w:val="0"/>
              <w:pageBreakBefore w:val="0"/>
              <w:widowControl/>
              <w:kinsoku/>
              <w:wordWrap/>
              <w:overflowPunct/>
              <w:topLinePunct w:val="0"/>
              <w:autoSpaceDE/>
              <w:autoSpaceDN w:val="0"/>
              <w:bidi w:val="0"/>
              <w:adjustRightInd/>
              <w:snapToGrid/>
              <w:spacing w:line="520" w:lineRule="exact"/>
              <w:textAlignment w:val="auto"/>
              <w:rPr>
                <w:rFonts w:ascii="方正仿宋_GBK" w:hAnsi="方正仿宋_GBK" w:eastAsia="方正仿宋_GBK" w:cs="方正仿宋_GBK"/>
                <w:b/>
                <w:bCs/>
                <w:sz w:val="24"/>
                <w:szCs w:val="24"/>
              </w:rPr>
            </w:pPr>
          </w:p>
        </w:tc>
      </w:tr>
      <w:bookmarkEnd w:id="2"/>
      <w:bookmarkEnd w:id="3"/>
    </w:tbl>
    <w:p w14:paraId="1A8D9FB3">
      <w:pPr>
        <w:pStyle w:val="6"/>
        <w:ind w:left="0" w:leftChars="0" w:firstLine="0" w:firstLineChars="0"/>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Himalaya">
    <w:altName w:val="DejaVu Math TeX Gyre"/>
    <w:panose1 w:val="01010100010101010101"/>
    <w:charset w:val="00"/>
    <w:family w:val="auto"/>
    <w:pitch w:val="default"/>
    <w:sig w:usb0="00000000" w:usb1="00000000" w:usb2="00000040" w:usb3="00000000" w:csb0="00000001" w:csb1="00000000"/>
  </w:font>
  <w:font w:name="DejaVu Math TeX Gyre">
    <w:panose1 w:val="02000503000000000000"/>
    <w:charset w:val="00"/>
    <w:family w:val="auto"/>
    <w:pitch w:val="default"/>
    <w:sig w:usb0="A10000EF" w:usb1="4201F9EE" w:usb2="02000000" w:usb3="00000000" w:csb0="60000193" w:csb1="0DD4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8C6A">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4E5EB82">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applyBreakingRules/>
    <w:doNotWrapTextWithPunct/>
    <w:doNotUseEastAsianBreakRules/>
    <w:useFELayout/>
    <w:compatSetting w:name="compatibilityMode" w:uri="http://schemas.microsoft.com/office/word" w:val="12"/>
  </w:compat>
  <w:rsids>
    <w:rsidRoot w:val="00631211"/>
    <w:rsid w:val="000B44D3"/>
    <w:rsid w:val="00631211"/>
    <w:rsid w:val="00730D1F"/>
    <w:rsid w:val="05D625BC"/>
    <w:rsid w:val="06AE5BB8"/>
    <w:rsid w:val="082C0269"/>
    <w:rsid w:val="0B7FA39E"/>
    <w:rsid w:val="0C967861"/>
    <w:rsid w:val="112A22DF"/>
    <w:rsid w:val="11895257"/>
    <w:rsid w:val="12AF57CC"/>
    <w:rsid w:val="16CD208A"/>
    <w:rsid w:val="18F51424"/>
    <w:rsid w:val="1B1120A4"/>
    <w:rsid w:val="1DAF6DD7"/>
    <w:rsid w:val="1DF5582A"/>
    <w:rsid w:val="231F3C6E"/>
    <w:rsid w:val="27FC6C6D"/>
    <w:rsid w:val="284B2E0F"/>
    <w:rsid w:val="2BA74800"/>
    <w:rsid w:val="30DC13F0"/>
    <w:rsid w:val="32FFF874"/>
    <w:rsid w:val="38641789"/>
    <w:rsid w:val="3A062661"/>
    <w:rsid w:val="3B556212"/>
    <w:rsid w:val="3C6F5C93"/>
    <w:rsid w:val="3EB637EC"/>
    <w:rsid w:val="3EFD446C"/>
    <w:rsid w:val="3F311F35"/>
    <w:rsid w:val="41670862"/>
    <w:rsid w:val="4278426E"/>
    <w:rsid w:val="475B320C"/>
    <w:rsid w:val="487B1097"/>
    <w:rsid w:val="4B5F25AA"/>
    <w:rsid w:val="4BC54EF5"/>
    <w:rsid w:val="4DDC0CAB"/>
    <w:rsid w:val="4E683E6B"/>
    <w:rsid w:val="4E8F31A6"/>
    <w:rsid w:val="52B51524"/>
    <w:rsid w:val="56725887"/>
    <w:rsid w:val="56F40992"/>
    <w:rsid w:val="5BCD1AD3"/>
    <w:rsid w:val="5C4A2D79"/>
    <w:rsid w:val="64801AB7"/>
    <w:rsid w:val="68617509"/>
    <w:rsid w:val="6B9F0C29"/>
    <w:rsid w:val="6C9205D9"/>
    <w:rsid w:val="6E9725D9"/>
    <w:rsid w:val="6FC827D7"/>
    <w:rsid w:val="72FBC070"/>
    <w:rsid w:val="74B3733F"/>
    <w:rsid w:val="75E11C8A"/>
    <w:rsid w:val="77843214"/>
    <w:rsid w:val="7A100D8F"/>
    <w:rsid w:val="7B7DC59C"/>
    <w:rsid w:val="7B7F9F81"/>
    <w:rsid w:val="7D7D588D"/>
    <w:rsid w:val="7D9121E7"/>
    <w:rsid w:val="7F796B77"/>
    <w:rsid w:val="9DDF78B0"/>
    <w:rsid w:val="AF178FCF"/>
    <w:rsid w:val="B5BE405B"/>
    <w:rsid w:val="DCEED426"/>
    <w:rsid w:val="E7EF286E"/>
    <w:rsid w:val="EBFFEBAA"/>
    <w:rsid w:val="EEF3D88B"/>
    <w:rsid w:val="F7573055"/>
    <w:rsid w:val="F7FEAE7C"/>
    <w:rsid w:val="FFBFF40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64"/>
    </w:rPr>
  </w:style>
  <w:style w:type="paragraph" w:styleId="3">
    <w:name w:val="heading 4"/>
    <w:basedOn w:val="1"/>
    <w:next w:val="1"/>
    <w:link w:val="17"/>
    <w:semiHidden/>
    <w:unhideWhenUsed/>
    <w:qFormat/>
    <w:uiPriority w:val="99"/>
    <w:pPr>
      <w:keepNext/>
      <w:keepLines/>
      <w:autoSpaceDE w:val="0"/>
      <w:autoSpaceDN w:val="0"/>
      <w:adjustRightInd w:val="0"/>
      <w:spacing w:before="280" w:after="290" w:line="372" w:lineRule="auto"/>
      <w:jc w:val="left"/>
      <w:outlineLvl w:val="3"/>
    </w:pPr>
    <w:rPr>
      <w:rFonts w:ascii="Calibri Light" w:hAnsi="Calibri Light" w:eastAsia="宋体" w:cs="Times New Roman"/>
      <w:b/>
      <w:bCs/>
      <w:kern w:val="0"/>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18"/>
    <w:semiHidden/>
    <w:unhideWhenUsed/>
    <w:qFormat/>
    <w:uiPriority w:val="0"/>
    <w:pPr>
      <w:autoSpaceDE w:val="0"/>
      <w:autoSpaceDN w:val="0"/>
      <w:adjustRightInd w:val="0"/>
      <w:spacing w:after="120"/>
      <w:jc w:val="left"/>
    </w:pPr>
    <w:rPr>
      <w:rFonts w:ascii="Calibri" w:hAnsi="Calibri" w:eastAsia="宋体" w:cs="Times New Roman"/>
      <w:kern w:val="0"/>
      <w:sz w:val="29"/>
      <w:szCs w:val="24"/>
    </w:rPr>
  </w:style>
  <w:style w:type="paragraph" w:styleId="6">
    <w:name w:val="Body Text Indent"/>
    <w:basedOn w:val="1"/>
    <w:link w:val="19"/>
    <w:unhideWhenUsed/>
    <w:qFormat/>
    <w:uiPriority w:val="0"/>
    <w:pPr>
      <w:autoSpaceDE w:val="0"/>
      <w:autoSpaceDN w:val="0"/>
      <w:adjustRightInd w:val="0"/>
      <w:ind w:left="360" w:firstLine="420" w:firstLineChars="150"/>
      <w:jc w:val="left"/>
    </w:pPr>
    <w:rPr>
      <w:rFonts w:ascii="仿宋_GB2312" w:hAnsi="Calibri" w:eastAsia="仿宋_GB2312" w:cs="Times New Roman"/>
      <w:kern w:val="0"/>
      <w:sz w:val="24"/>
      <w:szCs w:val="24"/>
    </w:rPr>
  </w:style>
  <w:style w:type="paragraph" w:styleId="7">
    <w:name w:val="Plain Text"/>
    <w:basedOn w:val="1"/>
    <w:link w:val="22"/>
    <w:semiHidden/>
    <w:unhideWhenUsed/>
    <w:qFormat/>
    <w:uiPriority w:val="99"/>
    <w:rPr>
      <w:rFonts w:ascii="宋体" w:hAnsi="Courier New" w:eastAsia="宋体" w:cs="Courier New"/>
      <w:szCs w:val="30"/>
    </w:rPr>
  </w:style>
  <w:style w:type="paragraph" w:styleId="8">
    <w:name w:val="footer"/>
    <w:basedOn w:val="1"/>
    <w:link w:val="16"/>
    <w:semiHidden/>
    <w:unhideWhenUsed/>
    <w:qFormat/>
    <w:uiPriority w:val="99"/>
    <w:pPr>
      <w:tabs>
        <w:tab w:val="center" w:pos="4153"/>
        <w:tab w:val="right" w:pos="8306"/>
      </w:tabs>
      <w:snapToGrid w:val="0"/>
      <w:jc w:val="left"/>
    </w:pPr>
    <w:rPr>
      <w:sz w:val="18"/>
      <w:szCs w:val="26"/>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26"/>
    </w:rPr>
  </w:style>
  <w:style w:type="paragraph" w:styleId="10">
    <w:name w:val="Subtitle"/>
    <w:basedOn w:val="1"/>
    <w:next w:val="1"/>
    <w:qFormat/>
    <w:uiPriority w:val="99"/>
    <w:pPr>
      <w:widowControl/>
      <w:spacing w:after="560"/>
      <w:jc w:val="center"/>
    </w:pPr>
    <w:rPr>
      <w:rFonts w:ascii="Cambria" w:hAnsi="Cambria" w:eastAsia="宋体" w:cs="Times New Roman"/>
      <w:caps/>
      <w:spacing w:val="20"/>
      <w:kern w:val="0"/>
      <w:sz w:val="18"/>
      <w:szCs w:val="18"/>
      <w:lang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semiHidden/>
    <w:unhideWhenUsed/>
    <w:qFormat/>
    <w:uiPriority w:val="0"/>
    <w:pPr>
      <w:spacing w:after="0"/>
      <w:ind w:firstLine="420" w:firstLineChars="100"/>
    </w:pPr>
    <w:rPr>
      <w:rFonts w:ascii="Calibri" w:hAnsi="Calibri" w:eastAsia="宋体" w:cs="Times New Roman"/>
      <w:szCs w:val="24"/>
      <w:lang w:bidi="ar-SA"/>
    </w:rPr>
  </w:style>
  <w:style w:type="character" w:customStyle="1" w:styleId="15">
    <w:name w:val="页眉 Char"/>
    <w:basedOn w:val="14"/>
    <w:link w:val="9"/>
    <w:semiHidden/>
    <w:qFormat/>
    <w:uiPriority w:val="99"/>
    <w:rPr>
      <w:sz w:val="18"/>
      <w:szCs w:val="26"/>
    </w:rPr>
  </w:style>
  <w:style w:type="character" w:customStyle="1" w:styleId="16">
    <w:name w:val="页脚 Char"/>
    <w:basedOn w:val="14"/>
    <w:link w:val="8"/>
    <w:semiHidden/>
    <w:qFormat/>
    <w:uiPriority w:val="99"/>
    <w:rPr>
      <w:sz w:val="18"/>
      <w:szCs w:val="26"/>
    </w:rPr>
  </w:style>
  <w:style w:type="character" w:customStyle="1" w:styleId="17">
    <w:name w:val="标题 4 Char"/>
    <w:basedOn w:val="14"/>
    <w:link w:val="3"/>
    <w:semiHidden/>
    <w:qFormat/>
    <w:uiPriority w:val="99"/>
    <w:rPr>
      <w:rFonts w:ascii="Calibri Light" w:hAnsi="Calibri Light" w:eastAsia="宋体" w:cs="Times New Roman"/>
      <w:b/>
      <w:bCs/>
      <w:kern w:val="0"/>
      <w:sz w:val="28"/>
      <w:szCs w:val="28"/>
    </w:rPr>
  </w:style>
  <w:style w:type="character" w:customStyle="1" w:styleId="18">
    <w:name w:val="正文文本 Char"/>
    <w:basedOn w:val="14"/>
    <w:link w:val="5"/>
    <w:semiHidden/>
    <w:qFormat/>
    <w:uiPriority w:val="0"/>
    <w:rPr>
      <w:rFonts w:ascii="Calibri" w:hAnsi="Calibri" w:eastAsia="宋体" w:cs="Times New Roman"/>
      <w:kern w:val="0"/>
      <w:sz w:val="29"/>
      <w:szCs w:val="24"/>
    </w:rPr>
  </w:style>
  <w:style w:type="character" w:customStyle="1" w:styleId="19">
    <w:name w:val="正文文本缩进 Char"/>
    <w:basedOn w:val="14"/>
    <w:link w:val="6"/>
    <w:qFormat/>
    <w:uiPriority w:val="0"/>
    <w:rPr>
      <w:rFonts w:ascii="仿宋_GB2312" w:hAnsi="Calibri" w:eastAsia="仿宋_GB2312" w:cs="Times New Roman"/>
      <w:kern w:val="0"/>
      <w:sz w:val="24"/>
      <w:szCs w:val="24"/>
    </w:rPr>
  </w:style>
  <w:style w:type="character" w:customStyle="1" w:styleId="20">
    <w:name w:val="liu二级标题 字符"/>
    <w:basedOn w:val="14"/>
    <w:link w:val="21"/>
    <w:qFormat/>
    <w:locked/>
    <w:uiPriority w:val="0"/>
    <w:rPr>
      <w:rFonts w:ascii="宋体" w:hAnsi="宋体" w:eastAsia="宋体"/>
      <w:b/>
      <w:bCs/>
      <w:kern w:val="44"/>
      <w:sz w:val="32"/>
      <w:szCs w:val="24"/>
    </w:rPr>
  </w:style>
  <w:style w:type="paragraph" w:customStyle="1" w:styleId="21">
    <w:name w:val="liu二级标题"/>
    <w:basedOn w:val="2"/>
    <w:link w:val="20"/>
    <w:qFormat/>
    <w:uiPriority w:val="0"/>
    <w:pPr>
      <w:autoSpaceDE w:val="0"/>
      <w:autoSpaceDN w:val="0"/>
      <w:adjustRightInd w:val="0"/>
      <w:spacing w:line="576" w:lineRule="auto"/>
      <w:jc w:val="center"/>
    </w:pPr>
    <w:rPr>
      <w:rFonts w:ascii="宋体" w:hAnsi="宋体" w:eastAsia="宋体"/>
      <w:sz w:val="32"/>
      <w:szCs w:val="24"/>
    </w:rPr>
  </w:style>
  <w:style w:type="character" w:customStyle="1" w:styleId="22">
    <w:name w:val="纯文本 Char"/>
    <w:basedOn w:val="14"/>
    <w:link w:val="7"/>
    <w:semiHidden/>
    <w:qFormat/>
    <w:uiPriority w:val="99"/>
    <w:rPr>
      <w:rFonts w:ascii="宋体" w:hAnsi="Courier New" w:eastAsia="宋体" w:cs="Courier New"/>
      <w:szCs w:val="30"/>
    </w:rPr>
  </w:style>
  <w:style w:type="character" w:customStyle="1" w:styleId="23">
    <w:name w:val="标题 1 Char"/>
    <w:basedOn w:val="14"/>
    <w:link w:val="2"/>
    <w:qFormat/>
    <w:uiPriority w:val="9"/>
    <w:rPr>
      <w:b/>
      <w:bCs/>
      <w:kern w:val="44"/>
      <w:sz w:val="44"/>
      <w:szCs w:val="64"/>
    </w:rPr>
  </w:style>
  <w:style w:type="paragraph" w:customStyle="1" w:styleId="24">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1853</Words>
  <Characters>1996</Characters>
  <Lines>25</Lines>
  <Paragraphs>7</Paragraphs>
  <TotalTime>0</TotalTime>
  <ScaleCrop>false</ScaleCrop>
  <LinksUpToDate>false</LinksUpToDate>
  <CharactersWithSpaces>2097</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2026-05-20T05:05:00Z</dcterms:created>
  <dc:creator>微软用户</dc:creator>
  <cp:lastModifiedBy>huawei</cp:lastModifiedBy>
  <cp:lastPrinted>2026-05-31T09:25:00Z</cp:lastPrinted>
  <dcterms:modified xsi:type="dcterms:W3CDTF">2026-06-08T10:30:44Z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eyJoZGlkIjoiMDljMjZlNThmZTlkYWMyMmIwMjdmZGE1YmIyZmRmYjUiLCJ1c2VySWQiOiIyMjY0MTAyMiJ9</vt:lpwstr>
  </property>
  <property fmtid="{D5CDD505-2E9C-101B-9397-08002B2CF9AE}" pid="3" name="KSOProductBuildVer">
    <vt:lpwstr>2052-12.1.2.25882</vt:lpwstr>
  </property>
  <property fmtid="{D5CDD505-2E9C-101B-9397-08002B2CF9AE}" pid="4" name="ICV">
    <vt:lpwstr>028462BFFB8B4D899C9853F3CE1E0BC7_12</vt:lpwstr>
  </property>
</Properties>
</file>