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4D0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评标原则及方法：</w:t>
      </w:r>
    </w:p>
    <w:p w14:paraId="64FDD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比选小组对所有比选响应文件进行资格性审查，只有审查合格的供应商（即有效比选）才能进入</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w:t>
      </w:r>
    </w:p>
    <w:p w14:paraId="00DAEB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采用综合评分法，即对各评标因素进行量化，折算成打分的方法。</w:t>
      </w:r>
    </w:p>
    <w:p w14:paraId="20DAA868">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资格性审查</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00"/>
        <w:gridCol w:w="7024"/>
      </w:tblGrid>
      <w:tr w14:paraId="252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shd w:val="clear" w:color="auto" w:fill="FFFFFF"/>
            <w:vAlign w:val="center"/>
          </w:tcPr>
          <w:p w14:paraId="2B8621FB">
            <w:pPr>
              <w:widowControl/>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bidi="ar"/>
              </w:rPr>
              <w:t>资格要求</w:t>
            </w:r>
          </w:p>
        </w:tc>
      </w:tr>
      <w:tr w14:paraId="0FBB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2" w:type="pct"/>
            <w:tcBorders>
              <w:tl2br w:val="nil"/>
              <w:tr2bl w:val="nil"/>
            </w:tcBorders>
            <w:shd w:val="clear" w:color="auto" w:fill="FFFFFF"/>
            <w:vAlign w:val="center"/>
          </w:tcPr>
          <w:p w14:paraId="76572011">
            <w:pPr>
              <w:spacing w:line="360" w:lineRule="auto"/>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587" w:type="pct"/>
            <w:tcBorders>
              <w:tl2br w:val="nil"/>
              <w:tr2bl w:val="nil"/>
            </w:tcBorders>
            <w:shd w:val="clear" w:color="auto" w:fill="FFFFFF"/>
            <w:vAlign w:val="center"/>
          </w:tcPr>
          <w:p w14:paraId="7B63640A">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w:t>
            </w:r>
          </w:p>
        </w:tc>
        <w:tc>
          <w:tcPr>
            <w:tcW w:w="4119" w:type="pct"/>
            <w:tcBorders>
              <w:tl2br w:val="nil"/>
              <w:tr2bl w:val="nil"/>
            </w:tcBorders>
            <w:shd w:val="clear" w:color="auto" w:fill="FFFFFF"/>
            <w:vAlign w:val="center"/>
          </w:tcPr>
          <w:p w14:paraId="2EC463BB">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1.具有独立承担民事责任的能力；</w:t>
            </w:r>
            <w:r>
              <w:rPr>
                <w:rFonts w:hint="eastAsia" w:ascii="仿宋_GB2312" w:hAnsi="仿宋_GB2312" w:eastAsia="仿宋_GB2312" w:cs="仿宋_GB2312"/>
                <w:b/>
                <w:sz w:val="24"/>
                <w:szCs w:val="24"/>
              </w:rPr>
              <w:t>（供应商需是法人、其他组织或自然人，需提供工商部门注册的有效的营业执照或事业单位单位法人证书或自然人身份证明等（须加盖供应商单位公章)）。</w:t>
            </w:r>
          </w:p>
          <w:p w14:paraId="01A24B82">
            <w:pPr>
              <w:pStyle w:val="5"/>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eastAsia="仿宋_GB2312"/>
                <w:lang w:val="en-US" w:eastAsia="zh-CN"/>
              </w:rPr>
            </w:pPr>
            <w:r>
              <w:rPr>
                <w:rFonts w:hint="eastAsia"/>
                <w:lang w:val="en-US" w:eastAsia="zh-CN"/>
              </w:rPr>
              <w:t>2.具有良好的商业信誉和健全的会</w:t>
            </w:r>
            <w:bookmarkStart w:id="0" w:name="_GoBack"/>
            <w:bookmarkEnd w:id="0"/>
            <w:r>
              <w:rPr>
                <w:rFonts w:hint="eastAsia"/>
                <w:lang w:val="en-US" w:eastAsia="zh-CN"/>
              </w:rPr>
              <w:t>计制</w:t>
            </w:r>
            <w:r>
              <w:rPr>
                <w:rFonts w:hint="eastAsia" w:hAnsi="Times New Roman" w:cs="Times New Roman"/>
                <w:b/>
                <w:bCs/>
                <w:lang w:val="en-US" w:eastAsia="zh-CN"/>
              </w:rPr>
              <w:t>度；（提供近三年（2021年—2023年）</w:t>
            </w:r>
            <w:r>
              <w:rPr>
                <w:rFonts w:hint="eastAsia"/>
                <w:b/>
                <w:bCs/>
                <w:lang w:val="en-US" w:eastAsia="zh-CN"/>
              </w:rPr>
              <w:t>经会计师事务所或审计机构出具的审计报告复印件（扫描件）或供应商自行承诺具有良好的商业信誉和健全的财务会计制度，</w:t>
            </w:r>
            <w:r>
              <w:rPr>
                <w:rFonts w:hint="eastAsia" w:ascii="仿宋_GB2312" w:hAnsi="仿宋_GB2312" w:eastAsia="仿宋_GB2312" w:cs="仿宋_GB2312"/>
                <w:b/>
                <w:sz w:val="24"/>
                <w:szCs w:val="24"/>
              </w:rPr>
              <w:t>格式自拟，并加盖供应商单位公章</w:t>
            </w:r>
            <w:r>
              <w:rPr>
                <w:rFonts w:hint="eastAsia"/>
                <w:b/>
                <w:bCs/>
                <w:lang w:val="en-US" w:eastAsia="zh-CN"/>
              </w:rPr>
              <w:t>）</w:t>
            </w:r>
          </w:p>
          <w:p w14:paraId="74F7073C">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.具有依法缴纳税收和社会保障资金的良好记录；</w:t>
            </w:r>
            <w:r>
              <w:rPr>
                <w:rFonts w:hint="eastAsia" w:ascii="仿宋_GB2312" w:hAnsi="仿宋_GB2312" w:eastAsia="仿宋_GB2312" w:cs="仿宋_GB2312"/>
                <w:b/>
                <w:sz w:val="24"/>
                <w:szCs w:val="24"/>
              </w:rPr>
              <w:t>（提供202</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年1月1日至今任意三个月缴纳税收和社会保障资金凭证等相关资料</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新成立不足三个月的企业，不作要求（上述资料提供复印件或扫描件并加盖供应商单位公章）；若供应商无须缴纳税金，须出具相关证明材料。）</w:t>
            </w:r>
          </w:p>
          <w:p w14:paraId="0FE6BA7C">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4.参加政府招标活动三年内，在经营活动中没有重大违法、违规记录</w:t>
            </w:r>
            <w:r>
              <w:rPr>
                <w:rFonts w:hint="eastAsia" w:ascii="仿宋_GB2312" w:hAnsi="仿宋_GB2312" w:eastAsia="仿宋_GB2312" w:cs="仿宋_GB2312"/>
                <w:b/>
                <w:sz w:val="24"/>
                <w:szCs w:val="24"/>
              </w:rPr>
              <w:t>（提供参加政府采购活动前3年内在经营活动中没有重大违法记录的书面声明）。</w:t>
            </w:r>
          </w:p>
          <w:p w14:paraId="2256A4AD">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bCs/>
                <w:sz w:val="24"/>
                <w:szCs w:val="24"/>
                <w:lang w:val="en-US" w:eastAsia="zh-CN"/>
              </w:rPr>
              <w:t>5、法律、行政法规规定的其他条件。对被“信用中国（www.creditchina.gov.cn）”网站列入“重大税收违法失信主体”和“中国政府采购网（www.ccgp.gov.cn）”列入“政府采购严重违法失信行为记录名单”及“中国执行信息公开网（http://zxgk.court.gov.cn/shixin/）”列入“失信被执行人”的供应商,拒绝其参与本项目的采购活动。</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i w:val="0"/>
                <w:iCs w:val="0"/>
                <w:sz w:val="24"/>
                <w:szCs w:val="24"/>
                <w:lang w:val="en-US" w:eastAsia="zh-CN"/>
              </w:rPr>
              <w:t>供应商须提供未被列入上述名单的承诺或提供相关的查询截图，查询时间为本公告发布之日至递交文件截止时间前的任意时间。）</w:t>
            </w:r>
          </w:p>
        </w:tc>
      </w:tr>
      <w:tr w14:paraId="5F43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shd w:val="clear" w:color="auto" w:fill="FFFFFF"/>
            <w:vAlign w:val="center"/>
          </w:tcPr>
          <w:p w14:paraId="2F578083">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初步审查结论（通过或不通过）</w:t>
            </w:r>
          </w:p>
        </w:tc>
      </w:tr>
    </w:tbl>
    <w:p w14:paraId="6325CD0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lang w:val="en-US" w:eastAsia="zh-CN"/>
        </w:rPr>
      </w:pPr>
    </w:p>
    <w:p w14:paraId="05AD2A00">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综合评分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1"/>
        <w:gridCol w:w="1108"/>
        <w:gridCol w:w="432"/>
        <w:gridCol w:w="6103"/>
      </w:tblGrid>
      <w:tr w14:paraId="2C95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2351" w:type="dxa"/>
            <w:gridSpan w:val="3"/>
            <w:tcMar>
              <w:top w:w="15" w:type="dxa"/>
              <w:left w:w="74" w:type="dxa"/>
              <w:bottom w:w="15" w:type="dxa"/>
              <w:right w:w="74" w:type="dxa"/>
            </w:tcMar>
            <w:vAlign w:val="center"/>
          </w:tcPr>
          <w:p w14:paraId="7758DD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评分内容及分值</w:t>
            </w:r>
          </w:p>
        </w:tc>
        <w:tc>
          <w:tcPr>
            <w:tcW w:w="6103" w:type="dxa"/>
            <w:tcMar>
              <w:top w:w="15" w:type="dxa"/>
              <w:left w:w="74" w:type="dxa"/>
              <w:bottom w:w="15" w:type="dxa"/>
              <w:right w:w="74" w:type="dxa"/>
            </w:tcMar>
            <w:vAlign w:val="center"/>
          </w:tcPr>
          <w:p w14:paraId="65E74C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r>
      <w:tr w14:paraId="086D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4" w:hRule="atLeast"/>
          <w:jc w:val="center"/>
        </w:trPr>
        <w:tc>
          <w:tcPr>
            <w:tcW w:w="0" w:type="auto"/>
            <w:tcMar>
              <w:top w:w="15" w:type="dxa"/>
              <w:left w:w="74" w:type="dxa"/>
              <w:bottom w:w="15" w:type="dxa"/>
              <w:right w:w="74" w:type="dxa"/>
            </w:tcMar>
            <w:vAlign w:val="center"/>
          </w:tcPr>
          <w:p w14:paraId="3F0C5E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14:paraId="22E1B92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比选报价得分</w:t>
            </w:r>
          </w:p>
        </w:tc>
        <w:tc>
          <w:tcPr>
            <w:tcW w:w="432" w:type="dxa"/>
            <w:tcMar>
              <w:top w:w="15" w:type="dxa"/>
              <w:left w:w="74" w:type="dxa"/>
              <w:bottom w:w="15" w:type="dxa"/>
              <w:right w:w="74" w:type="dxa"/>
            </w:tcMar>
            <w:vAlign w:val="center"/>
          </w:tcPr>
          <w:p w14:paraId="37A7096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14:paraId="4712988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（1）评审基准价计算公式：J=（B1+B2+…+ Bn）÷n</w:t>
            </w:r>
          </w:p>
          <w:p w14:paraId="2C291ED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B1 B2……Bn为n个有效比选总价，当有效比选总价个数n≤5时，J为全部有效比选总价的算术平均值；当有效比选总价个数n＞5且n≤9时，J为去掉一个最高和一个最低比选总价后的算术平均值；当有效比选总价个数n＞9时，J为去掉二个最高和一个最低比选总价后的算术平均；</w:t>
            </w:r>
            <w:r>
              <w:rPr>
                <w:rFonts w:hint="eastAsia" w:ascii="仿宋_GB2312" w:hAnsi="仿宋_GB2312" w:eastAsia="仿宋_GB2312" w:cs="仿宋_GB2312"/>
                <w:b/>
                <w:bCs/>
                <w:color w:val="000000"/>
                <w:sz w:val="24"/>
                <w:szCs w:val="24"/>
              </w:rPr>
              <w:t>供应商的报价明显低于其他通过符合性审查供应商的报价，有可能影响产品质量或者不能诚信履约的，应当要求其在规定时间内提供书面说明及相关证明材料；供应商不能证明其报价合理性的，应当将其作为无效</w:t>
            </w:r>
            <w:r>
              <w:rPr>
                <w:rFonts w:hint="eastAsia" w:ascii="仿宋_GB2312" w:hAnsi="仿宋_GB2312" w:eastAsia="仿宋_GB2312" w:cs="仿宋_GB2312"/>
                <w:b/>
                <w:bCs/>
                <w:color w:val="000000"/>
                <w:sz w:val="24"/>
                <w:szCs w:val="24"/>
                <w:lang w:val="en-US" w:eastAsia="zh-CN"/>
              </w:rPr>
              <w:t>报价</w:t>
            </w:r>
            <w:r>
              <w:rPr>
                <w:rFonts w:hint="eastAsia" w:ascii="仿宋_GB2312" w:hAnsi="仿宋_GB2312" w:eastAsia="仿宋_GB2312" w:cs="仿宋_GB2312"/>
                <w:b/>
                <w:bCs/>
                <w:color w:val="000000"/>
                <w:sz w:val="24"/>
                <w:szCs w:val="24"/>
              </w:rPr>
              <w:t>处理。</w:t>
            </w:r>
          </w:p>
          <w:p w14:paraId="214DBB9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（2）偏差率计算公式 </w:t>
            </w:r>
          </w:p>
          <w:p w14:paraId="0DCF3D7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P=│Bn -J│÷J×100%</w:t>
            </w:r>
          </w:p>
          <w:p w14:paraId="356C284B">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Bn——第n个有效比选总价</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B</w:t>
            </w:r>
            <w:r>
              <w:rPr>
                <w:rFonts w:hint="eastAsia" w:ascii="仿宋_GB2312" w:hAnsi="仿宋_GB2312" w:eastAsia="仿宋_GB2312" w:cs="仿宋_GB2312"/>
                <w:color w:val="000000"/>
                <w:sz w:val="24"/>
                <w:szCs w:val="24"/>
              </w:rPr>
              <w:t>n</w:t>
            </w:r>
            <w:r>
              <w:rPr>
                <w:rFonts w:hint="eastAsia" w:ascii="仿宋_GB2312" w:hAnsi="仿宋_GB2312" w:eastAsia="仿宋_GB2312" w:cs="仿宋_GB2312"/>
                <w:color w:val="000000"/>
                <w:sz w:val="24"/>
                <w:szCs w:val="24"/>
                <w:lang w:val="en-US" w:eastAsia="zh-CN"/>
              </w:rPr>
              <w:t>=1-报价下浮率；</w:t>
            </w:r>
          </w:p>
          <w:p w14:paraId="27F7603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J——评审基准价</w:t>
            </w:r>
          </w:p>
          <w:p w14:paraId="519D387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（3）比选总价得分计算公式：I=</w:t>
            </w: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sz w:val="24"/>
                <w:szCs w:val="24"/>
              </w:rPr>
              <w:t>－P×K×100</w:t>
            </w:r>
          </w:p>
          <w:p w14:paraId="1F1D197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I——比选总价得分（I≥0）</w:t>
            </w:r>
          </w:p>
          <w:p w14:paraId="456D0FF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P——偏差率</w:t>
            </w:r>
          </w:p>
          <w:p w14:paraId="04C21E38">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K——扣分系数：Bn大于J时，K取0.5；Bn小于J时，K取0.3；Bn等于J时，K取0。</w:t>
            </w:r>
          </w:p>
        </w:tc>
      </w:tr>
      <w:tr w14:paraId="0F5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8" w:hRule="atLeast"/>
          <w:jc w:val="center"/>
        </w:trPr>
        <w:tc>
          <w:tcPr>
            <w:tcW w:w="0" w:type="auto"/>
            <w:tcMar>
              <w:top w:w="15" w:type="dxa"/>
              <w:left w:w="74" w:type="dxa"/>
              <w:bottom w:w="15" w:type="dxa"/>
              <w:right w:w="74" w:type="dxa"/>
            </w:tcMar>
            <w:vAlign w:val="center"/>
          </w:tcPr>
          <w:p w14:paraId="18E7A88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业绩得分</w:t>
            </w:r>
          </w:p>
          <w:p w14:paraId="340702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14:paraId="771F296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业绩</w:t>
            </w:r>
            <w:r>
              <w:rPr>
                <w:rFonts w:hint="eastAsia" w:ascii="仿宋_GB2312" w:hAnsi="仿宋_GB2312" w:eastAsia="仿宋_GB2312" w:cs="仿宋_GB2312"/>
                <w:color w:val="000000"/>
                <w:sz w:val="24"/>
                <w:szCs w:val="24"/>
                <w:lang w:val="en-US" w:eastAsia="zh-CN"/>
              </w:rPr>
              <w:t>得分</w:t>
            </w:r>
          </w:p>
        </w:tc>
        <w:tc>
          <w:tcPr>
            <w:tcW w:w="432" w:type="dxa"/>
            <w:tcMar>
              <w:top w:w="15" w:type="dxa"/>
              <w:left w:w="74" w:type="dxa"/>
              <w:bottom w:w="15" w:type="dxa"/>
              <w:right w:w="74" w:type="dxa"/>
            </w:tcMar>
            <w:vAlign w:val="center"/>
          </w:tcPr>
          <w:p w14:paraId="470CDD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lang w:val="en-US" w:eastAsia="zh-CN"/>
              </w:rPr>
              <w:t>30</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6103" w:type="dxa"/>
            <w:tcMar>
              <w:top w:w="15" w:type="dxa"/>
              <w:left w:w="74" w:type="dxa"/>
              <w:bottom w:w="15" w:type="dxa"/>
              <w:right w:w="74" w:type="dxa"/>
            </w:tcMar>
            <w:vAlign w:val="center"/>
          </w:tcPr>
          <w:p w14:paraId="6A2FED5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eastAsia="仿宋_GB2312"/>
                <w:lang w:val="en-US" w:eastAsia="zh-CN"/>
              </w:rPr>
            </w:pPr>
            <w:r>
              <w:rPr>
                <w:rFonts w:hint="eastAsia"/>
                <w:lang w:val="en-US" w:eastAsia="zh-CN"/>
              </w:rPr>
              <w:t>提供近三年（2022年—2024年）1个市政类招标代理工作业绩得1.5分，最高得18分；提供近三年（2022年—2024年）工程造价咨询业绩1个得2分，最高得12分。</w:t>
            </w:r>
          </w:p>
        </w:tc>
      </w:tr>
      <w:tr w14:paraId="6FF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8" w:hRule="atLeast"/>
          <w:jc w:val="center"/>
        </w:trPr>
        <w:tc>
          <w:tcPr>
            <w:tcW w:w="811" w:type="dxa"/>
            <w:vMerge w:val="restart"/>
            <w:tcMar>
              <w:top w:w="15" w:type="dxa"/>
              <w:left w:w="74" w:type="dxa"/>
              <w:bottom w:w="15" w:type="dxa"/>
              <w:right w:w="74" w:type="dxa"/>
            </w:tcMar>
            <w:vAlign w:val="center"/>
          </w:tcPr>
          <w:p w14:paraId="547161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分）</w:t>
            </w:r>
          </w:p>
        </w:tc>
        <w:tc>
          <w:tcPr>
            <w:tcW w:w="1108" w:type="dxa"/>
            <w:tcMar>
              <w:top w:w="15" w:type="dxa"/>
              <w:left w:w="74" w:type="dxa"/>
              <w:bottom w:w="15" w:type="dxa"/>
              <w:right w:w="74" w:type="dxa"/>
            </w:tcMar>
            <w:vAlign w:val="center"/>
          </w:tcPr>
          <w:p w14:paraId="56E528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团队成员</w:t>
            </w:r>
          </w:p>
        </w:tc>
        <w:tc>
          <w:tcPr>
            <w:tcW w:w="432" w:type="dxa"/>
            <w:tcMar>
              <w:top w:w="15" w:type="dxa"/>
              <w:left w:w="74" w:type="dxa"/>
              <w:bottom w:w="15" w:type="dxa"/>
              <w:right w:w="74" w:type="dxa"/>
            </w:tcMar>
            <w:vAlign w:val="center"/>
          </w:tcPr>
          <w:p w14:paraId="4D2681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14:paraId="5A6D26A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根据供应商针对本项目拟配置的服务团队在满足需求人员配置要求的基础上，进行综合评审：</w:t>
            </w:r>
          </w:p>
          <w:p w14:paraId="553BBAE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优得[</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16</w:t>
            </w:r>
            <w:r>
              <w:rPr>
                <w:rFonts w:hint="eastAsia" w:ascii="仿宋_GB2312" w:hAnsi="仿宋_GB2312" w:eastAsia="仿宋_GB2312" w:cs="仿宋_GB2312"/>
                <w:sz w:val="24"/>
                <w:szCs w:val="24"/>
                <w:highlight w:val="none"/>
              </w:rPr>
              <w:t>)分，良得[</w:t>
            </w:r>
            <w:r>
              <w:rPr>
                <w:rFonts w:hint="eastAsia" w:ascii="仿宋_GB2312" w:hAnsi="仿宋_GB2312" w:eastAsia="仿宋_GB2312" w:cs="仿宋_GB2312"/>
                <w:sz w:val="24"/>
                <w:szCs w:val="24"/>
                <w:highlight w:val="none"/>
                <w:lang w:val="en-US" w:eastAsia="zh-CN"/>
              </w:rPr>
              <w:t>16</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)分，一般得[</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)分，较差得[</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-0)分</w:t>
            </w:r>
            <w:r>
              <w:rPr>
                <w:rFonts w:hint="eastAsia" w:ascii="仿宋_GB2312" w:hAnsi="仿宋_GB2312" w:eastAsia="仿宋_GB2312" w:cs="仿宋_GB2312"/>
                <w:color w:val="000000" w:themeColor="text1"/>
                <w:sz w:val="24"/>
                <w:szCs w:val="24"/>
                <w:highlight w:val="none"/>
                <w14:textFill>
                  <w14:solidFill>
                    <w14:schemeClr w14:val="tx1"/>
                  </w14:solidFill>
                </w14:textFill>
              </w:rPr>
              <w:t>，无相关材料不得分。</w:t>
            </w:r>
          </w:p>
          <w:p w14:paraId="5447391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highlight w:val="none"/>
              </w:rPr>
              <w:t>注：需提供有效的身份证、职称证（如有）、学位证书（如有）等相关证明材料复印件。</w:t>
            </w:r>
          </w:p>
        </w:tc>
      </w:tr>
      <w:tr w14:paraId="53A0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11" w:type="dxa"/>
            <w:vMerge w:val="continue"/>
            <w:tcMar>
              <w:top w:w="15" w:type="dxa"/>
              <w:left w:w="74" w:type="dxa"/>
              <w:bottom w:w="15" w:type="dxa"/>
              <w:right w:w="74" w:type="dxa"/>
            </w:tcMar>
            <w:vAlign w:val="center"/>
          </w:tcPr>
          <w:p w14:paraId="78F995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FF0000"/>
                <w:sz w:val="24"/>
                <w:szCs w:val="24"/>
              </w:rPr>
            </w:pPr>
          </w:p>
        </w:tc>
        <w:tc>
          <w:tcPr>
            <w:tcW w:w="1108" w:type="dxa"/>
            <w:tcMar>
              <w:top w:w="15" w:type="dxa"/>
              <w:left w:w="74" w:type="dxa"/>
              <w:bottom w:w="15" w:type="dxa"/>
              <w:right w:w="74" w:type="dxa"/>
            </w:tcMar>
            <w:vAlign w:val="center"/>
          </w:tcPr>
          <w:p w14:paraId="2AAF1AE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企业实力 </w:t>
            </w:r>
          </w:p>
        </w:tc>
        <w:tc>
          <w:tcPr>
            <w:tcW w:w="432" w:type="dxa"/>
            <w:tcMar>
              <w:top w:w="15" w:type="dxa"/>
              <w:left w:w="74" w:type="dxa"/>
              <w:bottom w:w="15" w:type="dxa"/>
              <w:right w:w="74" w:type="dxa"/>
            </w:tcMar>
            <w:vAlign w:val="center"/>
          </w:tcPr>
          <w:p w14:paraId="6DDC2F0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6103" w:type="dxa"/>
            <w:tcMar>
              <w:top w:w="15" w:type="dxa"/>
              <w:left w:w="74" w:type="dxa"/>
              <w:bottom w:w="15" w:type="dxa"/>
              <w:right w:w="74" w:type="dxa"/>
            </w:tcMar>
            <w:vAlign w:val="center"/>
          </w:tcPr>
          <w:p w14:paraId="0D8B859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在西藏自治区政府采购网、西藏自治区建筑市场监管公共服务平台等相关部门备案得10分；</w:t>
            </w:r>
          </w:p>
          <w:p w14:paraId="5FD49682">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在拉萨市有办公场所和良好的办公环境得</w:t>
            </w:r>
            <w:r>
              <w:rPr>
                <w:rFonts w:hint="eastAsia" w:ascii="仿宋_GB2312" w:hAnsi="仿宋_GB2312" w:eastAsia="仿宋_GB2312" w:cs="仿宋_GB2312"/>
                <w:sz w:val="24"/>
                <w:szCs w:val="24"/>
                <w:lang w:val="en-US" w:eastAsia="zh-CN"/>
              </w:rPr>
              <w:t>10分。</w:t>
            </w:r>
          </w:p>
        </w:tc>
      </w:tr>
      <w:tr w14:paraId="718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0" w:type="auto"/>
            <w:gridSpan w:val="4"/>
            <w:tcMar>
              <w:top w:w="15" w:type="dxa"/>
              <w:left w:w="74" w:type="dxa"/>
              <w:bottom w:w="15" w:type="dxa"/>
              <w:right w:w="74" w:type="dxa"/>
            </w:tcMar>
            <w:vAlign w:val="center"/>
          </w:tcPr>
          <w:p w14:paraId="244DDE5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注：1.各项计算、评分结果均按四舍五入法精确到小数点后2位。</w:t>
            </w:r>
          </w:p>
          <w:p w14:paraId="6A561CC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2.“[”、“]”为包含边界分值，“（”、“）”为不包含边界分值。</w:t>
            </w:r>
          </w:p>
        </w:tc>
      </w:tr>
    </w:tbl>
    <w:p w14:paraId="25B21E7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lang w:val="en-US" w:eastAsia="zh-CN"/>
        </w:rPr>
      </w:pPr>
    </w:p>
    <w:p w14:paraId="268F3018"/>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23932"/>
    <w:multiLevelType w:val="singleLevel"/>
    <w:tmpl w:val="0B4239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709E"/>
    <w:rsid w:val="048B7990"/>
    <w:rsid w:val="05740424"/>
    <w:rsid w:val="05804980"/>
    <w:rsid w:val="08BD20E2"/>
    <w:rsid w:val="135D699C"/>
    <w:rsid w:val="188D7D23"/>
    <w:rsid w:val="226F0F5B"/>
    <w:rsid w:val="248144B4"/>
    <w:rsid w:val="252916DA"/>
    <w:rsid w:val="28247630"/>
    <w:rsid w:val="286D7229"/>
    <w:rsid w:val="28A55893"/>
    <w:rsid w:val="28CE793B"/>
    <w:rsid w:val="2F0F02AD"/>
    <w:rsid w:val="32F90074"/>
    <w:rsid w:val="372E04CB"/>
    <w:rsid w:val="3751006B"/>
    <w:rsid w:val="3A00614F"/>
    <w:rsid w:val="3B704203"/>
    <w:rsid w:val="40AD1E4D"/>
    <w:rsid w:val="40CD04CD"/>
    <w:rsid w:val="41A82CF7"/>
    <w:rsid w:val="456A4DC4"/>
    <w:rsid w:val="478F2FB4"/>
    <w:rsid w:val="48074B4D"/>
    <w:rsid w:val="48B819A3"/>
    <w:rsid w:val="4A513E5D"/>
    <w:rsid w:val="4FDF1F0B"/>
    <w:rsid w:val="506348EA"/>
    <w:rsid w:val="51DE72D9"/>
    <w:rsid w:val="533C1FF3"/>
    <w:rsid w:val="5DD45079"/>
    <w:rsid w:val="6D176D30"/>
    <w:rsid w:val="6D655CEE"/>
    <w:rsid w:val="6FD34DF7"/>
    <w:rsid w:val="72AA7CFF"/>
    <w:rsid w:val="76F61765"/>
    <w:rsid w:val="78EC2E1F"/>
    <w:rsid w:val="7A15284A"/>
    <w:rsid w:val="7B1D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4"/>
    <w:qFormat/>
    <w:uiPriority w:val="99"/>
    <w:rPr>
      <w:rFonts w:ascii="宋体" w:hAnsi="Courier New" w:cs="Courier New"/>
      <w:szCs w:val="21"/>
    </w:rPr>
  </w:style>
  <w:style w:type="paragraph" w:styleId="5">
    <w:name w:val="Body Text Indent"/>
    <w:basedOn w:val="1"/>
    <w:qFormat/>
    <w:uiPriority w:val="0"/>
    <w:pPr>
      <w:ind w:left="360" w:firstLine="420" w:firstLineChars="150"/>
    </w:pPr>
    <w:rPr>
      <w:rFonts w:hint="eastAsia" w:ascii="仿宋_GB2312" w:eastAsia="仿宋_GB2312"/>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1407</Words>
  <Characters>1567</Characters>
  <Lines>0</Lines>
  <Paragraphs>0</Paragraphs>
  <TotalTime>1</TotalTime>
  <ScaleCrop>false</ScaleCrop>
  <LinksUpToDate>false</LinksUpToDate>
  <CharactersWithSpaces>1572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2025-01-25T05:31:00Z</dcterms:created>
  <dc:creator>Administrator</dc:creator>
  <cp:lastModifiedBy>UNIS</cp:lastModifiedBy>
  <cp:lastPrinted>2025-01-26T07:37:39Z</cp:lastPrinted>
  <dcterms:modified xsi:type="dcterms:W3CDTF">2025-01-26T07:37:44Z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eyJoZGlkIjoiYmU0ZDYyMzNkNGQxODVlZGY0YzJmNzgxNjY2ZGM1OTMifQ==</vt:lpwstr>
  </property>
  <property fmtid="{D5CDD505-2E9C-101B-9397-08002B2CF9AE}" pid="4" name="ICV">
    <vt:lpwstr>C914A1F74CFC497FB738FAB45BF1ECEB_12</vt:lpwstr>
  </property>
</Properties>
</file>