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评标原则及方法：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比选小组对所有比选响应文件进行资格性审查，只有审查合格的供应商（即有效比选）才能进入评标。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本次评标采用综合评分法，即对各评标因素进行量化，折算成打分的方法。</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_GB2312" w:hAnsi="仿宋_GB2312" w:eastAsia="仿宋_GB2312" w:cs="仿宋_GB2312"/>
          <w:sz w:val="28"/>
          <w:szCs w:val="28"/>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资格性审查</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00"/>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l2br w:val="nil"/>
              <w:tr2bl w:val="nil"/>
            </w:tcBorders>
            <w:shd w:val="clear" w:color="auto" w:fill="FFFFFF"/>
            <w:vAlign w:val="center"/>
          </w:tcPr>
          <w:p>
            <w:pPr>
              <w:widowControl/>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tcBorders>
              <w:tl2br w:val="nil"/>
              <w:tr2bl w:val="nil"/>
            </w:tcBorders>
            <w:shd w:val="clear" w:color="auto" w:fill="FFFFFF"/>
            <w:vAlign w:val="center"/>
          </w:tcPr>
          <w:p>
            <w:pPr>
              <w:spacing w:line="360" w:lineRule="auto"/>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w:t>
            </w:r>
          </w:p>
        </w:tc>
        <w:tc>
          <w:tcPr>
            <w:tcW w:w="587" w:type="pct"/>
            <w:tcBorders>
              <w:tl2br w:val="nil"/>
              <w:tr2bl w:val="nil"/>
            </w:tcBorders>
            <w:shd w:val="clear" w:color="auto" w:fill="FFFFFF"/>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资格审查</w:t>
            </w:r>
          </w:p>
        </w:tc>
        <w:tc>
          <w:tcPr>
            <w:tcW w:w="4119" w:type="pct"/>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1.具有独立承担民事责任的能力；</w:t>
            </w:r>
            <w:r>
              <w:rPr>
                <w:rFonts w:hint="eastAsia" w:ascii="仿宋_GB2312" w:hAnsi="仿宋_GB2312" w:eastAsia="仿宋_GB2312" w:cs="仿宋_GB2312"/>
                <w:b/>
                <w:sz w:val="24"/>
                <w:szCs w:val="24"/>
              </w:rPr>
              <w:t>（供应商需是法人、其他组织或自然人，需提供工商部门注册的有效的营业执照或事业单位单位法人证书</w:t>
            </w:r>
            <w:bookmarkStart w:id="0" w:name="_GoBack"/>
            <w:bookmarkEnd w:id="0"/>
            <w:r>
              <w:rPr>
                <w:rFonts w:hint="eastAsia" w:ascii="仿宋_GB2312" w:hAnsi="仿宋_GB2312" w:eastAsia="仿宋_GB2312" w:cs="仿宋_GB2312"/>
                <w:b/>
                <w:sz w:val="24"/>
                <w:szCs w:val="24"/>
              </w:rPr>
              <w:t>或自然人身份证明等（须加盖供应商单位公章)）。</w:t>
            </w:r>
          </w:p>
          <w:p>
            <w:pPr>
              <w:pStyle w:val="5"/>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default" w:eastAsia="仿宋_GB2312"/>
                <w:lang w:val="en-US" w:eastAsia="zh-CN"/>
              </w:rPr>
            </w:pPr>
            <w:r>
              <w:rPr>
                <w:rFonts w:hint="eastAsia"/>
                <w:lang w:val="en-US" w:eastAsia="zh-CN"/>
              </w:rPr>
              <w:t>2.具有良好的商业信誉和健全的会计制度；</w:t>
            </w:r>
            <w:r>
              <w:rPr>
                <w:rFonts w:hint="eastAsia"/>
                <w:b/>
                <w:bCs/>
                <w:lang w:val="en-US" w:eastAsia="zh-CN"/>
              </w:rPr>
              <w:t>（提供2023或2024年度经会计师事务所或审计机构出具的审计报告复印件（扫描件）或供应商自行承诺具有良好的商业信誉和健全的财务会计制度，</w:t>
            </w:r>
            <w:r>
              <w:rPr>
                <w:rFonts w:hint="eastAsia" w:ascii="仿宋_GB2312" w:hAnsi="仿宋_GB2312" w:eastAsia="仿宋_GB2312" w:cs="仿宋_GB2312"/>
                <w:b/>
                <w:sz w:val="24"/>
                <w:szCs w:val="24"/>
              </w:rPr>
              <w:t>格式自拟，并加盖供应商单位公章</w:t>
            </w:r>
            <w:r>
              <w:rPr>
                <w:rFonts w:hint="eastAsia"/>
                <w:b/>
                <w:bCs/>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.具有依法缴纳税收和社会保障资金的良好记录；</w:t>
            </w:r>
            <w:r>
              <w:rPr>
                <w:rFonts w:hint="eastAsia" w:ascii="仿宋_GB2312" w:hAnsi="仿宋_GB2312" w:eastAsia="仿宋_GB2312" w:cs="仿宋_GB2312"/>
                <w:b/>
                <w:sz w:val="24"/>
                <w:szCs w:val="24"/>
              </w:rPr>
              <w:t>（提供202</w:t>
            </w: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rPr>
              <w:t>年1月1日至今任意三个月缴纳税收和社会保障资金凭证等相关资料</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新成立不足三个月的企业，不作要求（上述资料提供复印件或扫描件并加盖供应商单位公章）；若供应商无须缴纳税金，须出具相关证明材料。）</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4.参加政府招标活动三年内，在经营活动中没有重大违法、违规记录</w:t>
            </w:r>
            <w:r>
              <w:rPr>
                <w:rFonts w:hint="eastAsia" w:ascii="仿宋_GB2312" w:hAnsi="仿宋_GB2312" w:eastAsia="仿宋_GB2312" w:cs="仿宋_GB2312"/>
                <w:b/>
                <w:sz w:val="24"/>
                <w:szCs w:val="24"/>
              </w:rPr>
              <w:t>（提供参加政府采购活动前3年内在经营活动中没有重大违法记录的书面声明）。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bCs/>
                <w:sz w:val="24"/>
                <w:szCs w:val="24"/>
                <w:lang w:val="en-US" w:eastAsia="zh-CN"/>
              </w:rPr>
              <w:t>6、法律、行政法规规定的其他条件。对被“信用中国（www.creditchina.gov.cn）”网站列入“重大税收违法失信主体”和“中国政府采购网（www.ccgp.gov.cn）”列入“政府采购严重违法失信行为记录名单”及“中国执行信息公开网（http://zxgk.court.gov.cn/shixin/）”列入“失信被执行人”的供应商,拒绝其参与本项目的采购活动。</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i w:val="0"/>
                <w:iCs w:val="0"/>
                <w:sz w:val="24"/>
                <w:szCs w:val="24"/>
                <w:lang w:val="en-US" w:eastAsia="zh-CN"/>
              </w:rPr>
              <w:t>供应商须提供未被列入上述名单的承诺或提供相关的查询截图，查询时间为本公告发布之日至递交文件截止时间前的任意时间。）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l2br w:val="nil"/>
              <w:tr2bl w:val="nil"/>
            </w:tcBorders>
            <w:shd w:val="clear" w:color="auto" w:fill="FFFFFF"/>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初步审查结论（通过或不通过）</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b/>
          <w:bCs/>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综合评分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1"/>
        <w:gridCol w:w="1108"/>
        <w:gridCol w:w="432"/>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2351" w:type="dxa"/>
            <w:gridSpan w:val="3"/>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评分内容及分值</w:t>
            </w:r>
          </w:p>
        </w:tc>
        <w:tc>
          <w:tcPr>
            <w:tcW w:w="6103" w:type="dxa"/>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4" w:hRule="atLeast"/>
          <w:jc w:val="center"/>
        </w:trPr>
        <w:tc>
          <w:tcPr>
            <w:tcW w:w="0" w:type="auto"/>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价格（</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c>
          <w:tcPr>
            <w:tcW w:w="0" w:type="auto"/>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比选报价得分</w:t>
            </w:r>
          </w:p>
        </w:tc>
        <w:tc>
          <w:tcPr>
            <w:tcW w:w="432" w:type="dxa"/>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c>
          <w:tcPr>
            <w:tcW w:w="6103" w:type="dxa"/>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（1）评审基准价计算公式：J=（B1+B2+…+ Bn）÷n</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B1 B2……Bn为n个有效比选总价，当有效比选总价个数n≤5时，J为全部有效比选总价的算术平均值；当有效比选总价个数n＞5且n≤9时，J为去掉一个最高和一个最低比选总价后的算术平均值；当有效比选总价个数n＞9时，J为去掉二个最高和一个最低比选总价后的算术平均；</w:t>
            </w:r>
            <w:r>
              <w:rPr>
                <w:rFonts w:hint="eastAsia" w:ascii="仿宋_GB2312" w:hAnsi="仿宋_GB2312" w:eastAsia="仿宋_GB2312" w:cs="仿宋_GB2312"/>
                <w:b/>
                <w:bCs/>
                <w:color w:val="000000"/>
                <w:sz w:val="24"/>
                <w:szCs w:val="24"/>
              </w:rPr>
              <w:t>供应商的报价明显低于其他通过符合性审查供应商的报价，有可能影响产品质量或者不能诚信履约的，应当要求其在规定时间内提供书面说明及相关证明材料；供应商不能证明其报价合理性的，应当将其作为无效</w:t>
            </w:r>
            <w:r>
              <w:rPr>
                <w:rFonts w:hint="eastAsia" w:ascii="仿宋_GB2312" w:hAnsi="仿宋_GB2312" w:eastAsia="仿宋_GB2312" w:cs="仿宋_GB2312"/>
                <w:b/>
                <w:bCs/>
                <w:color w:val="000000"/>
                <w:sz w:val="24"/>
                <w:szCs w:val="24"/>
                <w:lang w:val="en-US" w:eastAsia="zh-CN"/>
              </w:rPr>
              <w:t>报价</w:t>
            </w:r>
            <w:r>
              <w:rPr>
                <w:rFonts w:hint="eastAsia" w:ascii="仿宋_GB2312" w:hAnsi="仿宋_GB2312" w:eastAsia="仿宋_GB2312" w:cs="仿宋_GB2312"/>
                <w:b/>
                <w:bCs/>
                <w:color w:val="000000"/>
                <w:sz w:val="24"/>
                <w:szCs w:val="24"/>
              </w:rPr>
              <w:t>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（2）偏差率计算公式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P=│Bn -J│÷J×100%</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Bn——第n个有效比选总价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J——评审基准价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（3）比选总价得分计算公式：I=</w:t>
            </w:r>
            <w:r>
              <w:rPr>
                <w:rFonts w:hint="eastAsia" w:ascii="仿宋_GB2312" w:hAnsi="仿宋_GB2312" w:eastAsia="仿宋_GB2312" w:cs="仿宋_GB2312"/>
                <w:color w:val="000000"/>
                <w:sz w:val="24"/>
                <w:szCs w:val="24"/>
                <w:lang w:val="en-US" w:eastAsia="zh-CN"/>
              </w:rPr>
              <w:t>15</w:t>
            </w:r>
            <w:r>
              <w:rPr>
                <w:rFonts w:hint="eastAsia" w:ascii="仿宋_GB2312" w:hAnsi="仿宋_GB2312" w:eastAsia="仿宋_GB2312" w:cs="仿宋_GB2312"/>
                <w:color w:val="000000"/>
                <w:sz w:val="24"/>
                <w:szCs w:val="24"/>
              </w:rPr>
              <w:t>－P×K×100</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I——比选总价得分（I≥0）</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P——偏差率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K——扣分系数：Bn大于J时，K取0.5；Bn小于J时，K取0.3；Bn等于J时，K取0。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8" w:hRule="atLeast"/>
          <w:jc w:val="center"/>
        </w:trPr>
        <w:tc>
          <w:tcPr>
            <w:tcW w:w="0" w:type="auto"/>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部分</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50</w:t>
            </w:r>
            <w:r>
              <w:rPr>
                <w:rFonts w:hint="eastAsia" w:ascii="仿宋_GB2312" w:hAnsi="仿宋_GB2312" w:eastAsia="仿宋_GB2312" w:cs="仿宋_GB2312"/>
                <w:sz w:val="24"/>
                <w:szCs w:val="24"/>
              </w:rPr>
              <w:t>分）</w:t>
            </w:r>
          </w:p>
        </w:tc>
        <w:tc>
          <w:tcPr>
            <w:tcW w:w="1108" w:type="dxa"/>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服务</w:t>
            </w:r>
            <w:r>
              <w:rPr>
                <w:rFonts w:hint="eastAsia" w:ascii="仿宋_GB2312" w:hAnsi="仿宋_GB2312" w:eastAsia="仿宋_GB2312" w:cs="仿宋_GB2312"/>
                <w:color w:val="000000"/>
                <w:sz w:val="24"/>
                <w:szCs w:val="24"/>
                <w:lang w:val="en-US" w:eastAsia="zh-CN"/>
              </w:rPr>
              <w:t>方案得分</w:t>
            </w:r>
          </w:p>
        </w:tc>
        <w:tc>
          <w:tcPr>
            <w:tcW w:w="432" w:type="dxa"/>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sz w:val="24"/>
                <w:szCs w:val="24"/>
                <w:lang w:val="en-US" w:eastAsia="zh-CN"/>
              </w:rPr>
              <w:t>50</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6103" w:type="dxa"/>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供应商针对本项目的需求分析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组织管理措施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质量管理体系及保证措施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进度计划及保证措施</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内容进行横向比较，对</w:t>
            </w:r>
            <w:r>
              <w:rPr>
                <w:rFonts w:hint="eastAsia" w:ascii="仿宋_GB2312" w:hAnsi="仿宋_GB2312" w:eastAsia="仿宋_GB2312" w:cs="仿宋_GB2312"/>
                <w:sz w:val="24"/>
                <w:szCs w:val="24"/>
                <w:lang w:val="en-US" w:eastAsia="zh-CN"/>
              </w:rPr>
              <w:t>其</w:t>
            </w:r>
            <w:r>
              <w:rPr>
                <w:rFonts w:hint="eastAsia" w:ascii="仿宋_GB2312" w:hAnsi="仿宋_GB2312" w:eastAsia="仿宋_GB2312" w:cs="仿宋_GB2312"/>
                <w:sz w:val="24"/>
                <w:szCs w:val="24"/>
              </w:rPr>
              <w:t>是否具体、详实，是否合理、与项目需求的匹配程度进行综合评分：[</w:t>
            </w:r>
            <w:r>
              <w:rPr>
                <w:rFonts w:hint="eastAsia" w:ascii="仿宋_GB2312" w:hAnsi="仿宋_GB2312" w:eastAsia="仿宋_GB2312" w:cs="仿宋_GB2312"/>
                <w:sz w:val="24"/>
                <w:szCs w:val="24"/>
                <w:lang w:val="en-US" w:eastAsia="zh-CN"/>
              </w:rPr>
              <w:t>50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)分，良得[</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)分，一般得[</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)分，较差得[</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-0)分，无相关材料不得分。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eastAsia="仿宋_GB2312"/>
                <w:b/>
                <w:bCs/>
                <w:lang w:val="en-US" w:eastAsia="zh-CN"/>
              </w:rPr>
            </w:pPr>
            <w:r>
              <w:rPr>
                <w:rFonts w:hint="eastAsia"/>
                <w:b/>
                <w:bCs/>
                <w:lang w:val="en-US" w:eastAsia="zh-CN"/>
              </w:rPr>
              <w:t>分项得分：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_GB2312"/>
                <w:lang w:eastAsia="zh-CN"/>
              </w:rPr>
            </w:pPr>
            <w:r>
              <w:rPr>
                <w:rFonts w:hint="eastAsia"/>
              </w:rPr>
              <w:t>1、</w:t>
            </w:r>
            <w:r>
              <w:rPr>
                <w:rFonts w:hint="eastAsia"/>
                <w:lang w:val="en-US" w:eastAsia="zh-CN"/>
              </w:rPr>
              <w:t>根据</w:t>
            </w:r>
            <w:r>
              <w:rPr>
                <w:rFonts w:hint="eastAsia"/>
              </w:rPr>
              <w:t>供应商针对本项目的需求分析提供方案（包含：项目现状分析，项目重点、难点分析，项目实施流程，项目实施过程中依据的法律法规、规章、相关规范及技术标准目录，成果文件应包含的内容等）</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val="en-US" w:eastAsia="zh-CN"/>
              </w:rPr>
              <w:t>其</w:t>
            </w:r>
            <w:r>
              <w:rPr>
                <w:rFonts w:hint="eastAsia" w:ascii="仿宋_GB2312" w:hAnsi="仿宋_GB2312" w:eastAsia="仿宋_GB2312" w:cs="仿宋_GB2312"/>
                <w:sz w:val="24"/>
                <w:szCs w:val="24"/>
              </w:rPr>
              <w:t>是否具体、详实，是否合理、与项目需求的匹配程度进行综合评分：[</w:t>
            </w:r>
            <w:r>
              <w:rPr>
                <w:rFonts w:hint="eastAsia" w:hAnsi="仿宋_GB2312" w:cs="仿宋_GB2312"/>
                <w:sz w:val="24"/>
                <w:szCs w:val="24"/>
                <w:lang w:val="en-US" w:eastAsia="zh-CN"/>
              </w:rPr>
              <w:t>15</w:t>
            </w:r>
            <w:r>
              <w:rPr>
                <w:rFonts w:hint="eastAsia" w:ascii="仿宋_GB2312" w:hAnsi="仿宋_GB2312" w:eastAsia="仿宋_GB2312" w:cs="仿宋_GB2312"/>
                <w:sz w:val="24"/>
                <w:szCs w:val="24"/>
              </w:rPr>
              <w:t>-</w:t>
            </w:r>
            <w:r>
              <w:rPr>
                <w:rFonts w:hint="eastAsia" w:hAnsi="仿宋_GB2312" w:cs="仿宋_GB2312"/>
                <w:sz w:val="24"/>
                <w:szCs w:val="24"/>
                <w:lang w:val="en-US" w:eastAsia="zh-CN"/>
              </w:rPr>
              <w:t>12</w:t>
            </w:r>
            <w:r>
              <w:rPr>
                <w:rFonts w:hint="eastAsia" w:ascii="仿宋_GB2312" w:hAnsi="仿宋_GB2312" w:eastAsia="仿宋_GB2312" w:cs="仿宋_GB2312"/>
                <w:sz w:val="24"/>
                <w:szCs w:val="24"/>
              </w:rPr>
              <w:t>)分，良得[</w:t>
            </w:r>
            <w:r>
              <w:rPr>
                <w:rFonts w:hint="eastAsia" w:hAnsi="仿宋_GB2312" w:cs="仿宋_GB2312"/>
                <w:sz w:val="24"/>
                <w:szCs w:val="24"/>
                <w:lang w:val="en-US" w:eastAsia="zh-CN"/>
              </w:rPr>
              <w:t>12</w:t>
            </w:r>
            <w:r>
              <w:rPr>
                <w:rFonts w:hint="eastAsia" w:ascii="仿宋_GB2312" w:hAnsi="仿宋_GB2312" w:eastAsia="仿宋_GB2312" w:cs="仿宋_GB2312"/>
                <w:sz w:val="24"/>
                <w:szCs w:val="24"/>
              </w:rPr>
              <w:t>-</w:t>
            </w:r>
            <w:r>
              <w:rPr>
                <w:rFonts w:hint="eastAsia" w:hAnsi="仿宋_GB2312" w:cs="仿宋_GB2312"/>
                <w:sz w:val="24"/>
                <w:szCs w:val="24"/>
                <w:lang w:val="en-US" w:eastAsia="zh-CN"/>
              </w:rPr>
              <w:t>9</w:t>
            </w:r>
            <w:r>
              <w:rPr>
                <w:rFonts w:hint="eastAsia" w:ascii="仿宋_GB2312" w:hAnsi="仿宋_GB2312" w:eastAsia="仿宋_GB2312" w:cs="仿宋_GB2312"/>
                <w:sz w:val="24"/>
                <w:szCs w:val="24"/>
              </w:rPr>
              <w:t>)分，一般得[</w:t>
            </w:r>
            <w:r>
              <w:rPr>
                <w:rFonts w:hint="eastAsia" w:hAnsi="仿宋_GB2312" w:cs="仿宋_GB2312"/>
                <w:sz w:val="24"/>
                <w:szCs w:val="24"/>
                <w:lang w:val="en-US" w:eastAsia="zh-CN"/>
              </w:rPr>
              <w:t>9</w:t>
            </w:r>
            <w:r>
              <w:rPr>
                <w:rFonts w:hint="eastAsia" w:ascii="仿宋_GB2312" w:hAnsi="仿宋_GB2312" w:eastAsia="仿宋_GB2312" w:cs="仿宋_GB2312"/>
                <w:sz w:val="24"/>
                <w:szCs w:val="24"/>
              </w:rPr>
              <w:t>-</w:t>
            </w:r>
            <w:r>
              <w:rPr>
                <w:rFonts w:hint="eastAsia" w:hAnsi="仿宋_GB2312" w:cs="仿宋_GB2312"/>
                <w:sz w:val="24"/>
                <w:szCs w:val="24"/>
                <w:lang w:val="en-US" w:eastAsia="zh-CN"/>
              </w:rPr>
              <w:t>5</w:t>
            </w:r>
            <w:r>
              <w:rPr>
                <w:rFonts w:hint="eastAsia" w:ascii="仿宋_GB2312" w:hAnsi="仿宋_GB2312" w:eastAsia="仿宋_GB2312" w:cs="仿宋_GB2312"/>
                <w:sz w:val="24"/>
                <w:szCs w:val="24"/>
              </w:rPr>
              <w:t>)分，较差得[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-0)分</w:t>
            </w:r>
            <w:r>
              <w:rPr>
                <w:rFonts w:hint="eastAsia"/>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rPr>
            </w:pPr>
            <w:r>
              <w:rPr>
                <w:rFonts w:hint="eastAsia"/>
              </w:rPr>
              <w:t>2、</w:t>
            </w:r>
            <w:r>
              <w:rPr>
                <w:rFonts w:hint="eastAsia"/>
                <w:lang w:val="en-US" w:eastAsia="zh-CN"/>
              </w:rPr>
              <w:t>根据</w:t>
            </w:r>
            <w:r>
              <w:rPr>
                <w:rFonts w:hint="eastAsia"/>
              </w:rPr>
              <w:t>供应商针对本项目的组织管理措施提供方案（包含：组织措施、管理制度、工作机制、职责认定、针对本项目的人员配置等）</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val="en-US" w:eastAsia="zh-CN"/>
              </w:rPr>
              <w:t>其</w:t>
            </w:r>
            <w:r>
              <w:rPr>
                <w:rFonts w:hint="eastAsia" w:ascii="仿宋_GB2312" w:hAnsi="仿宋_GB2312" w:eastAsia="仿宋_GB2312" w:cs="仿宋_GB2312"/>
                <w:sz w:val="24"/>
                <w:szCs w:val="24"/>
              </w:rPr>
              <w:t>是否具体、详实，是否合理、与项目需求的匹配程度进行综合评分：[</w:t>
            </w:r>
            <w:r>
              <w:rPr>
                <w:rFonts w:hint="eastAsia" w:hAnsi="仿宋_GB2312" w:cs="仿宋_GB2312"/>
                <w:sz w:val="24"/>
                <w:szCs w:val="24"/>
                <w:lang w:val="en-US" w:eastAsia="zh-CN"/>
              </w:rPr>
              <w:t>15</w:t>
            </w:r>
            <w:r>
              <w:rPr>
                <w:rFonts w:hint="eastAsia" w:ascii="仿宋_GB2312" w:hAnsi="仿宋_GB2312" w:eastAsia="仿宋_GB2312" w:cs="仿宋_GB2312"/>
                <w:sz w:val="24"/>
                <w:szCs w:val="24"/>
              </w:rPr>
              <w:t>-</w:t>
            </w:r>
            <w:r>
              <w:rPr>
                <w:rFonts w:hint="eastAsia" w:hAnsi="仿宋_GB2312" w:cs="仿宋_GB2312"/>
                <w:sz w:val="24"/>
                <w:szCs w:val="24"/>
                <w:lang w:val="en-US" w:eastAsia="zh-CN"/>
              </w:rPr>
              <w:t>12</w:t>
            </w:r>
            <w:r>
              <w:rPr>
                <w:rFonts w:hint="eastAsia" w:ascii="仿宋_GB2312" w:hAnsi="仿宋_GB2312" w:eastAsia="仿宋_GB2312" w:cs="仿宋_GB2312"/>
                <w:sz w:val="24"/>
                <w:szCs w:val="24"/>
              </w:rPr>
              <w:t>)分，良得[</w:t>
            </w:r>
            <w:r>
              <w:rPr>
                <w:rFonts w:hint="eastAsia" w:hAnsi="仿宋_GB2312" w:cs="仿宋_GB2312"/>
                <w:sz w:val="24"/>
                <w:szCs w:val="24"/>
                <w:lang w:val="en-US" w:eastAsia="zh-CN"/>
              </w:rPr>
              <w:t>12</w:t>
            </w:r>
            <w:r>
              <w:rPr>
                <w:rFonts w:hint="eastAsia" w:ascii="仿宋_GB2312" w:hAnsi="仿宋_GB2312" w:eastAsia="仿宋_GB2312" w:cs="仿宋_GB2312"/>
                <w:sz w:val="24"/>
                <w:szCs w:val="24"/>
              </w:rPr>
              <w:t>-</w:t>
            </w:r>
            <w:r>
              <w:rPr>
                <w:rFonts w:hint="eastAsia" w:hAnsi="仿宋_GB2312" w:cs="仿宋_GB2312"/>
                <w:sz w:val="24"/>
                <w:szCs w:val="24"/>
                <w:lang w:val="en-US" w:eastAsia="zh-CN"/>
              </w:rPr>
              <w:t>9</w:t>
            </w:r>
            <w:r>
              <w:rPr>
                <w:rFonts w:hint="eastAsia" w:ascii="仿宋_GB2312" w:hAnsi="仿宋_GB2312" w:eastAsia="仿宋_GB2312" w:cs="仿宋_GB2312"/>
                <w:sz w:val="24"/>
                <w:szCs w:val="24"/>
              </w:rPr>
              <w:t>)分，一般得[</w:t>
            </w:r>
            <w:r>
              <w:rPr>
                <w:rFonts w:hint="eastAsia" w:hAnsi="仿宋_GB2312" w:cs="仿宋_GB2312"/>
                <w:sz w:val="24"/>
                <w:szCs w:val="24"/>
                <w:lang w:val="en-US" w:eastAsia="zh-CN"/>
              </w:rPr>
              <w:t>9</w:t>
            </w:r>
            <w:r>
              <w:rPr>
                <w:rFonts w:hint="eastAsia" w:ascii="仿宋_GB2312" w:hAnsi="仿宋_GB2312" w:eastAsia="仿宋_GB2312" w:cs="仿宋_GB2312"/>
                <w:sz w:val="24"/>
                <w:szCs w:val="24"/>
              </w:rPr>
              <w:t>-</w:t>
            </w:r>
            <w:r>
              <w:rPr>
                <w:rFonts w:hint="eastAsia" w:hAnsi="仿宋_GB2312" w:cs="仿宋_GB2312"/>
                <w:sz w:val="24"/>
                <w:szCs w:val="24"/>
                <w:lang w:val="en-US" w:eastAsia="zh-CN"/>
              </w:rPr>
              <w:t>5</w:t>
            </w:r>
            <w:r>
              <w:rPr>
                <w:rFonts w:hint="eastAsia" w:ascii="仿宋_GB2312" w:hAnsi="仿宋_GB2312" w:eastAsia="仿宋_GB2312" w:cs="仿宋_GB2312"/>
                <w:sz w:val="24"/>
                <w:szCs w:val="24"/>
              </w:rPr>
              <w:t>)分，较差得[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-0)分</w:t>
            </w:r>
            <w:r>
              <w:rPr>
                <w:rFonts w:hint="eastAsia"/>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rPr>
            </w:pPr>
            <w:r>
              <w:rPr>
                <w:rFonts w:hint="eastAsia"/>
              </w:rPr>
              <w:t>3、</w:t>
            </w:r>
            <w:r>
              <w:rPr>
                <w:rFonts w:hint="eastAsia"/>
                <w:lang w:val="en-US" w:eastAsia="zh-CN"/>
              </w:rPr>
              <w:t>根据</w:t>
            </w:r>
            <w:r>
              <w:rPr>
                <w:rFonts w:hint="eastAsia"/>
              </w:rPr>
              <w:t>质量管理体系及保证措施</w:t>
            </w:r>
            <w:r>
              <w:rPr>
                <w:rFonts w:hint="eastAsia"/>
                <w:lang w:eastAsia="zh-CN"/>
              </w:rPr>
              <w:t>（</w:t>
            </w:r>
            <w:r>
              <w:rPr>
                <w:rFonts w:hint="eastAsia"/>
              </w:rPr>
              <w:t>包含制定完整的质量保证体系、确保项目质量的技术组织措施、针对质量目标及质量控制的保证措施、制定质量管理制度、检查制度</w:t>
            </w:r>
            <w:r>
              <w:rPr>
                <w:rFonts w:hint="eastAsia"/>
                <w:lang w:val="en-US" w:eastAsia="zh-CN"/>
              </w:rPr>
              <w:t>等）</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val="en-US" w:eastAsia="zh-CN"/>
              </w:rPr>
              <w:t>其</w:t>
            </w:r>
            <w:r>
              <w:rPr>
                <w:rFonts w:hint="eastAsia" w:ascii="仿宋_GB2312" w:hAnsi="仿宋_GB2312" w:eastAsia="仿宋_GB2312" w:cs="仿宋_GB2312"/>
                <w:sz w:val="24"/>
                <w:szCs w:val="24"/>
              </w:rPr>
              <w:t>是否具体、详实，是否合理、与项目需求的匹配程度进行综合评分：[</w:t>
            </w:r>
            <w:r>
              <w:rPr>
                <w:rFonts w:hint="eastAsia" w:hAnsi="仿宋_GB2312" w:cs="仿宋_GB2312"/>
                <w:sz w:val="24"/>
                <w:szCs w:val="24"/>
                <w:lang w:val="en-US" w:eastAsia="zh-CN"/>
              </w:rPr>
              <w:t>10</w:t>
            </w:r>
            <w:r>
              <w:rPr>
                <w:rFonts w:hint="eastAsia" w:ascii="仿宋_GB2312" w:hAnsi="仿宋_GB2312" w:eastAsia="仿宋_GB2312" w:cs="仿宋_GB2312"/>
                <w:sz w:val="24"/>
                <w:szCs w:val="24"/>
              </w:rPr>
              <w:t>-</w:t>
            </w:r>
            <w:r>
              <w:rPr>
                <w:rFonts w:hint="eastAsia" w:hAnsi="仿宋_GB2312" w:cs="仿宋_GB2312"/>
                <w:sz w:val="24"/>
                <w:szCs w:val="24"/>
                <w:lang w:val="en-US" w:eastAsia="zh-CN"/>
              </w:rPr>
              <w:t>8</w:t>
            </w:r>
            <w:r>
              <w:rPr>
                <w:rFonts w:hint="eastAsia" w:ascii="仿宋_GB2312" w:hAnsi="仿宋_GB2312" w:eastAsia="仿宋_GB2312" w:cs="仿宋_GB2312"/>
                <w:sz w:val="24"/>
                <w:szCs w:val="24"/>
              </w:rPr>
              <w:t>)分，良得[</w:t>
            </w:r>
            <w:r>
              <w:rPr>
                <w:rFonts w:hint="eastAsia" w:hAnsi="仿宋_GB2312" w:cs="仿宋_GB2312"/>
                <w:sz w:val="24"/>
                <w:szCs w:val="24"/>
                <w:lang w:val="en-US" w:eastAsia="zh-CN"/>
              </w:rPr>
              <w:t>8</w:t>
            </w:r>
            <w:r>
              <w:rPr>
                <w:rFonts w:hint="eastAsia" w:ascii="仿宋_GB2312" w:hAnsi="仿宋_GB2312" w:eastAsia="仿宋_GB2312" w:cs="仿宋_GB2312"/>
                <w:sz w:val="24"/>
                <w:szCs w:val="24"/>
              </w:rPr>
              <w:t>-</w:t>
            </w:r>
            <w:r>
              <w:rPr>
                <w:rFonts w:hint="eastAsia" w:hAnsi="仿宋_GB2312" w:cs="仿宋_GB2312"/>
                <w:sz w:val="24"/>
                <w:szCs w:val="24"/>
                <w:lang w:val="en-US" w:eastAsia="zh-CN"/>
              </w:rPr>
              <w:t>6</w:t>
            </w:r>
            <w:r>
              <w:rPr>
                <w:rFonts w:hint="eastAsia" w:ascii="仿宋_GB2312" w:hAnsi="仿宋_GB2312" w:eastAsia="仿宋_GB2312" w:cs="仿宋_GB2312"/>
                <w:sz w:val="24"/>
                <w:szCs w:val="24"/>
              </w:rPr>
              <w:t>)分，一般得[</w:t>
            </w:r>
            <w:r>
              <w:rPr>
                <w:rFonts w:hint="eastAsia" w:hAnsi="仿宋_GB2312" w:cs="仿宋_GB2312"/>
                <w:sz w:val="24"/>
                <w:szCs w:val="24"/>
                <w:lang w:val="en-US" w:eastAsia="zh-CN"/>
              </w:rPr>
              <w:t>6</w:t>
            </w:r>
            <w:r>
              <w:rPr>
                <w:rFonts w:hint="eastAsia" w:ascii="仿宋_GB2312" w:hAnsi="仿宋_GB2312" w:eastAsia="仿宋_GB2312" w:cs="仿宋_GB2312"/>
                <w:sz w:val="24"/>
                <w:szCs w:val="24"/>
              </w:rPr>
              <w:t>-</w:t>
            </w:r>
            <w:r>
              <w:rPr>
                <w:rFonts w:hint="eastAsia" w:hAnsi="仿宋_GB2312" w:cs="仿宋_GB2312"/>
                <w:sz w:val="24"/>
                <w:szCs w:val="24"/>
                <w:lang w:val="en-US" w:eastAsia="zh-CN"/>
              </w:rPr>
              <w:t>3</w:t>
            </w:r>
            <w:r>
              <w:rPr>
                <w:rFonts w:hint="eastAsia" w:ascii="仿宋_GB2312" w:hAnsi="仿宋_GB2312" w:eastAsia="仿宋_GB2312" w:cs="仿宋_GB2312"/>
                <w:sz w:val="24"/>
                <w:szCs w:val="24"/>
              </w:rPr>
              <w:t>)分，较差得[</w:t>
            </w:r>
            <w:r>
              <w:rPr>
                <w:rFonts w:hint="eastAsia" w:hAnsi="仿宋_GB2312" w:cs="仿宋_GB2312"/>
                <w:sz w:val="24"/>
                <w:szCs w:val="24"/>
                <w:lang w:val="en-US" w:eastAsia="zh-CN"/>
              </w:rPr>
              <w:t>3</w:t>
            </w:r>
            <w:r>
              <w:rPr>
                <w:rFonts w:hint="eastAsia" w:ascii="仿宋_GB2312" w:hAnsi="仿宋_GB2312" w:eastAsia="仿宋_GB2312" w:cs="仿宋_GB2312"/>
                <w:sz w:val="24"/>
                <w:szCs w:val="24"/>
              </w:rPr>
              <w:t>-0)分</w:t>
            </w:r>
            <w:r>
              <w:rPr>
                <w:rFonts w:hint="eastAsia"/>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_GB2312"/>
                <w:lang w:val="en-US" w:eastAsia="zh-CN"/>
              </w:rPr>
            </w:pPr>
            <w:r>
              <w:rPr>
                <w:rFonts w:hint="eastAsia"/>
              </w:rPr>
              <w:t>4、</w:t>
            </w:r>
            <w:r>
              <w:rPr>
                <w:rFonts w:hint="eastAsia"/>
                <w:lang w:val="en-US" w:eastAsia="zh-CN"/>
              </w:rPr>
              <w:t>根据</w:t>
            </w:r>
            <w:r>
              <w:rPr>
                <w:rFonts w:hint="eastAsia"/>
              </w:rPr>
              <w:t>进度计划及保证措施</w:t>
            </w:r>
            <w:r>
              <w:rPr>
                <w:rFonts w:hint="eastAsia"/>
                <w:lang w:eastAsia="zh-CN"/>
              </w:rPr>
              <w:t>（</w:t>
            </w:r>
            <w:r>
              <w:rPr>
                <w:rFonts w:hint="eastAsia"/>
              </w:rPr>
              <w:t>包含详细的项目进度计划、完整的项目工期保证措施、劳动力配备及管理措施、主要人、料、机使用计划及管理措施</w:t>
            </w:r>
            <w:r>
              <w:rPr>
                <w:rFonts w:hint="eastAsia"/>
                <w:lang w:val="en-US" w:eastAsia="zh-CN"/>
              </w:rPr>
              <w:t>等）</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val="en-US" w:eastAsia="zh-CN"/>
              </w:rPr>
              <w:t>其</w:t>
            </w:r>
            <w:r>
              <w:rPr>
                <w:rFonts w:hint="eastAsia" w:ascii="仿宋_GB2312" w:hAnsi="仿宋_GB2312" w:eastAsia="仿宋_GB2312" w:cs="仿宋_GB2312"/>
                <w:sz w:val="24"/>
                <w:szCs w:val="24"/>
              </w:rPr>
              <w:t>是否具体、详实，是否合理、与项目需求的匹配程度进行综合评分：[</w:t>
            </w:r>
            <w:r>
              <w:rPr>
                <w:rFonts w:hint="eastAsia" w:hAnsi="仿宋_GB2312" w:cs="仿宋_GB2312"/>
                <w:sz w:val="24"/>
                <w:szCs w:val="24"/>
                <w:lang w:val="en-US" w:eastAsia="zh-CN"/>
              </w:rPr>
              <w:t>10</w:t>
            </w:r>
            <w:r>
              <w:rPr>
                <w:rFonts w:hint="eastAsia" w:ascii="仿宋_GB2312" w:hAnsi="仿宋_GB2312" w:eastAsia="仿宋_GB2312" w:cs="仿宋_GB2312"/>
                <w:sz w:val="24"/>
                <w:szCs w:val="24"/>
              </w:rPr>
              <w:t>-</w:t>
            </w:r>
            <w:r>
              <w:rPr>
                <w:rFonts w:hint="eastAsia" w:hAnsi="仿宋_GB2312" w:cs="仿宋_GB2312"/>
                <w:sz w:val="24"/>
                <w:szCs w:val="24"/>
                <w:lang w:val="en-US" w:eastAsia="zh-CN"/>
              </w:rPr>
              <w:t>8</w:t>
            </w:r>
            <w:r>
              <w:rPr>
                <w:rFonts w:hint="eastAsia" w:ascii="仿宋_GB2312" w:hAnsi="仿宋_GB2312" w:eastAsia="仿宋_GB2312" w:cs="仿宋_GB2312"/>
                <w:sz w:val="24"/>
                <w:szCs w:val="24"/>
              </w:rPr>
              <w:t>)分，良得[</w:t>
            </w:r>
            <w:r>
              <w:rPr>
                <w:rFonts w:hint="eastAsia" w:hAnsi="仿宋_GB2312" w:cs="仿宋_GB2312"/>
                <w:sz w:val="24"/>
                <w:szCs w:val="24"/>
                <w:lang w:val="en-US" w:eastAsia="zh-CN"/>
              </w:rPr>
              <w:t>8</w:t>
            </w:r>
            <w:r>
              <w:rPr>
                <w:rFonts w:hint="eastAsia" w:ascii="仿宋_GB2312" w:hAnsi="仿宋_GB2312" w:eastAsia="仿宋_GB2312" w:cs="仿宋_GB2312"/>
                <w:sz w:val="24"/>
                <w:szCs w:val="24"/>
              </w:rPr>
              <w:t>-</w:t>
            </w:r>
            <w:r>
              <w:rPr>
                <w:rFonts w:hint="eastAsia" w:hAnsi="仿宋_GB2312" w:cs="仿宋_GB2312"/>
                <w:sz w:val="24"/>
                <w:szCs w:val="24"/>
                <w:lang w:val="en-US" w:eastAsia="zh-CN"/>
              </w:rPr>
              <w:t>6</w:t>
            </w:r>
            <w:r>
              <w:rPr>
                <w:rFonts w:hint="eastAsia" w:ascii="仿宋_GB2312" w:hAnsi="仿宋_GB2312" w:eastAsia="仿宋_GB2312" w:cs="仿宋_GB2312"/>
                <w:sz w:val="24"/>
                <w:szCs w:val="24"/>
              </w:rPr>
              <w:t>)分，一般得[</w:t>
            </w:r>
            <w:r>
              <w:rPr>
                <w:rFonts w:hint="eastAsia" w:hAnsi="仿宋_GB2312" w:cs="仿宋_GB2312"/>
                <w:sz w:val="24"/>
                <w:szCs w:val="24"/>
                <w:lang w:val="en-US" w:eastAsia="zh-CN"/>
              </w:rPr>
              <w:t>6</w:t>
            </w:r>
            <w:r>
              <w:rPr>
                <w:rFonts w:hint="eastAsia" w:ascii="仿宋_GB2312" w:hAnsi="仿宋_GB2312" w:eastAsia="仿宋_GB2312" w:cs="仿宋_GB2312"/>
                <w:sz w:val="24"/>
                <w:szCs w:val="24"/>
              </w:rPr>
              <w:t>-</w:t>
            </w:r>
            <w:r>
              <w:rPr>
                <w:rFonts w:hint="eastAsia" w:hAnsi="仿宋_GB2312" w:cs="仿宋_GB2312"/>
                <w:sz w:val="24"/>
                <w:szCs w:val="24"/>
                <w:lang w:val="en-US" w:eastAsia="zh-CN"/>
              </w:rPr>
              <w:t>3</w:t>
            </w:r>
            <w:r>
              <w:rPr>
                <w:rFonts w:hint="eastAsia" w:ascii="仿宋_GB2312" w:hAnsi="仿宋_GB2312" w:eastAsia="仿宋_GB2312" w:cs="仿宋_GB2312"/>
                <w:sz w:val="24"/>
                <w:szCs w:val="24"/>
              </w:rPr>
              <w:t>)分，较差得[</w:t>
            </w:r>
            <w:r>
              <w:rPr>
                <w:rFonts w:hint="eastAsia" w:hAnsi="仿宋_GB2312" w:cs="仿宋_GB2312"/>
                <w:sz w:val="24"/>
                <w:szCs w:val="24"/>
                <w:lang w:val="en-US" w:eastAsia="zh-CN"/>
              </w:rPr>
              <w:t>3</w:t>
            </w:r>
            <w:r>
              <w:rPr>
                <w:rFonts w:hint="eastAsia" w:ascii="仿宋_GB2312" w:hAnsi="仿宋_GB2312" w:eastAsia="仿宋_GB2312" w:cs="仿宋_GB2312"/>
                <w:sz w:val="24"/>
                <w:szCs w:val="24"/>
              </w:rPr>
              <w:t>-0)分</w:t>
            </w:r>
            <w:r>
              <w:rPr>
                <w:rFonts w:hint="eastAsia" w:hAnsi="仿宋_GB2312"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8" w:hRule="atLeast"/>
          <w:jc w:val="center"/>
        </w:trPr>
        <w:tc>
          <w:tcPr>
            <w:tcW w:w="811" w:type="dxa"/>
            <w:vMerge w:val="restart"/>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商务部分（</w:t>
            </w: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分）</w:t>
            </w:r>
          </w:p>
        </w:tc>
        <w:tc>
          <w:tcPr>
            <w:tcW w:w="1108" w:type="dxa"/>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团队成员</w:t>
            </w:r>
          </w:p>
        </w:tc>
        <w:tc>
          <w:tcPr>
            <w:tcW w:w="432" w:type="dxa"/>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w:t>
            </w:r>
          </w:p>
        </w:tc>
        <w:tc>
          <w:tcPr>
            <w:tcW w:w="6103" w:type="dxa"/>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根据供应商针对本项目拟配置的服务团队在满足采购需求人员配置要求的基础上，进行综合评审：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优得[</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)分，良得[</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)分，一般得[</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)分，较差得[</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-0)分</w:t>
            </w:r>
            <w:r>
              <w:rPr>
                <w:rFonts w:hint="eastAsia" w:ascii="仿宋_GB2312" w:hAnsi="仿宋_GB2312" w:eastAsia="仿宋_GB2312" w:cs="仿宋_GB2312"/>
                <w:color w:val="000000" w:themeColor="text1"/>
                <w:sz w:val="24"/>
                <w:szCs w:val="24"/>
                <w14:textFill>
                  <w14:solidFill>
                    <w14:schemeClr w14:val="tx1"/>
                  </w14:solidFill>
                </w14:textFill>
              </w:rPr>
              <w:t>，无相关材料不得分。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注：需提供有效的身份证、职称证（如有）、学位证书（如有）、学生证（如有）等相关证明材料复印件。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11" w:type="dxa"/>
            <w:vMerge w:val="continue"/>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FF0000"/>
                <w:sz w:val="24"/>
                <w:szCs w:val="24"/>
              </w:rPr>
            </w:pPr>
          </w:p>
        </w:tc>
        <w:tc>
          <w:tcPr>
            <w:tcW w:w="0" w:type="auto"/>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履约经验</w:t>
            </w:r>
          </w:p>
        </w:tc>
        <w:tc>
          <w:tcPr>
            <w:tcW w:w="432" w:type="dxa"/>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tc>
        <w:tc>
          <w:tcPr>
            <w:tcW w:w="6103" w:type="dxa"/>
            <w:tcMar>
              <w:top w:w="15" w:type="dxa"/>
              <w:left w:w="74" w:type="dxa"/>
              <w:bottom w:w="15" w:type="dxa"/>
              <w:right w:w="74"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年1月1日至今承担过类似项目业绩的，每提供一个得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分，最多得1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（类似项目指：</w:t>
            </w:r>
            <w:r>
              <w:rPr>
                <w:rFonts w:hint="eastAsia" w:ascii="仿宋_GB2312" w:hAnsi="仿宋_GB2312" w:eastAsia="仿宋_GB2312" w:cs="仿宋_GB2312"/>
                <w:b/>
                <w:bCs/>
                <w:sz w:val="24"/>
                <w:szCs w:val="24"/>
                <w:lang w:val="en-US" w:eastAsia="zh-CN"/>
              </w:rPr>
              <w:t>节水规划、</w:t>
            </w:r>
            <w:r>
              <w:rPr>
                <w:rFonts w:hint="eastAsia" w:ascii="仿宋_GB2312" w:hAnsi="仿宋_GB2312" w:eastAsia="仿宋_GB2312" w:cs="仿宋_GB2312"/>
                <w:b/>
                <w:bCs/>
                <w:sz w:val="24"/>
                <w:szCs w:val="24"/>
              </w:rPr>
              <w:t>水资源</w:t>
            </w:r>
            <w:r>
              <w:rPr>
                <w:rFonts w:hint="eastAsia" w:ascii="仿宋_GB2312" w:hAnsi="仿宋_GB2312" w:eastAsia="仿宋_GB2312" w:cs="仿宋_GB2312"/>
                <w:b/>
                <w:bCs/>
                <w:sz w:val="24"/>
                <w:szCs w:val="24"/>
                <w:lang w:val="en-US" w:eastAsia="zh-CN"/>
              </w:rPr>
              <w:t>综合规划等水资源相关规划项目</w:t>
            </w:r>
            <w:r>
              <w:rPr>
                <w:rFonts w:hint="eastAsia" w:ascii="仿宋_GB2312" w:hAnsi="仿宋_GB2312" w:eastAsia="仿宋_GB2312" w:cs="仿宋_GB2312"/>
                <w:b/>
                <w:bCs/>
                <w:sz w:val="24"/>
                <w:szCs w:val="24"/>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注：响应文件中须提供合同复印件（加盖单位公章），合同复印件必须包括项目名称、合同甲乙双方单位名称、甲乙双方签字盖章、合同内容、合同金额、合同签订时间等关键页。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11" w:type="dxa"/>
            <w:vMerge w:val="continue"/>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FF0000"/>
                <w:sz w:val="24"/>
                <w:szCs w:val="24"/>
              </w:rPr>
            </w:pPr>
          </w:p>
        </w:tc>
        <w:tc>
          <w:tcPr>
            <w:tcW w:w="0" w:type="auto"/>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企业实力</w:t>
            </w:r>
          </w:p>
        </w:tc>
        <w:tc>
          <w:tcPr>
            <w:tcW w:w="432" w:type="dxa"/>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5分</w:t>
            </w:r>
          </w:p>
        </w:tc>
        <w:tc>
          <w:tcPr>
            <w:tcW w:w="6103" w:type="dxa"/>
            <w:tcMar>
              <w:top w:w="15" w:type="dxa"/>
              <w:left w:w="74" w:type="dxa"/>
              <w:bottom w:w="15" w:type="dxa"/>
              <w:right w:w="74"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1、供应商具有水资源论证甲级资质得3分；乙级资质得1分（提供证书复印件）；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val="0"/>
                <w:bCs w:val="0"/>
                <w:sz w:val="24"/>
                <w:szCs w:val="24"/>
              </w:rPr>
              <w:t>2、供应商提供ISO9001质量管理体系认证证书的得2分（提供证书复印件）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0" w:type="auto"/>
            <w:gridSpan w:val="4"/>
            <w:tcMar>
              <w:top w:w="15" w:type="dxa"/>
              <w:left w:w="74" w:type="dxa"/>
              <w:bottom w:w="15" w:type="dxa"/>
              <w:right w:w="74"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注：1.各项计算、评分结果均按四舍五入法精确到小数点后2位。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2.“[”、“]”为包含边界分值，“（”、“）”为不包含边界分值。</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b/>
          <w:bCs/>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23932"/>
    <w:multiLevelType w:val="singleLevel"/>
    <w:tmpl w:val="0B4239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972B3"/>
    <w:rsid w:val="03B9631A"/>
    <w:rsid w:val="0F8E57F6"/>
    <w:rsid w:val="0FF919AE"/>
    <w:rsid w:val="14B77001"/>
    <w:rsid w:val="1B9B4182"/>
    <w:rsid w:val="201B196D"/>
    <w:rsid w:val="228C3F80"/>
    <w:rsid w:val="321C56C6"/>
    <w:rsid w:val="54E422F5"/>
    <w:rsid w:val="593D669B"/>
    <w:rsid w:val="5EC55E0B"/>
    <w:rsid w:val="630B7887"/>
    <w:rsid w:val="67871E07"/>
    <w:rsid w:val="68107684"/>
    <w:rsid w:val="7F18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qFormat/>
    <w:uiPriority w:val="99"/>
    <w:pPr>
      <w:keepNext/>
      <w:keepLines/>
      <w:spacing w:before="280" w:after="290" w:line="376" w:lineRule="auto"/>
      <w:outlineLvl w:val="3"/>
    </w:pPr>
    <w:rPr>
      <w:rFonts w:ascii="Calibri Light" w:hAnsi="Calibri Light"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Plain Text"/>
    <w:basedOn w:val="1"/>
    <w:next w:val="4"/>
    <w:uiPriority w:val="99"/>
    <w:rPr>
      <w:rFonts w:ascii="宋体" w:hAnsi="Courier New" w:cs="Courier New"/>
      <w:szCs w:val="21"/>
    </w:rPr>
  </w:style>
  <w:style w:type="paragraph" w:styleId="5">
    <w:name w:val="Body Text Indent"/>
    <w:basedOn w:val="1"/>
    <w:qFormat/>
    <w:uiPriority w:val="0"/>
    <w:pPr>
      <w:ind w:left="360" w:firstLine="420" w:firstLineChars="150"/>
    </w:pPr>
    <w:rPr>
      <w:rFonts w:hint="eastAsia" w:ascii="仿宋_GB2312" w:eastAsia="仿宋_GB2312"/>
      <w:sz w:val="24"/>
      <w:szCs w:val="24"/>
    </w:rPr>
  </w:style>
  <w:style w:type="paragraph" w:customStyle="1" w:styleId="8">
    <w:name w:val="Table Paragraph"/>
    <w:basedOn w:val="1"/>
    <w:qFormat/>
    <w:uiPriority w:val="1"/>
    <w:pPr>
      <w:adjustRightInd/>
      <w:spacing w:line="240" w:lineRule="auto"/>
      <w:textAlignment w:val="auto"/>
    </w:pPr>
    <w:rPr>
      <w:rFonts w:hAnsi="宋体" w:eastAsia="宋体" w:cs="宋体"/>
      <w:kern w:val="2"/>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Dai</dc:creator>
  <cp:lastModifiedBy>DaiJh</cp:lastModifiedBy>
  <dcterms:modified xsi:type="dcterms:W3CDTF">2025-01-13T00:54:42Z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C4E3441EC5894AFC928A7B8CBA32604B</vt:lpwstr>
  </property>
</Properties>
</file>