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1632">
      <w:pPr>
        <w:pageBreakBefore w:val="0"/>
        <w:kinsoku/>
        <w:overflowPunct/>
        <w:topLinePunct w:val="0"/>
        <w:bidi w:val="0"/>
        <w:snapToGrid/>
        <w:spacing w:beforeLines="0" w:afterLines="0" w:line="576" w:lineRule="exact"/>
        <w:textAlignment w:val="auto"/>
        <w:rPr>
          <w:rFonts w:hint="eastAsia"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color w:val="auto"/>
          <w:kern w:val="0"/>
          <w:sz w:val="32"/>
          <w:szCs w:val="32"/>
          <w:lang w:val="en-US" w:eastAsia="zh-CN"/>
        </w:rPr>
        <w:t>附件2</w:t>
      </w:r>
    </w:p>
    <w:p w14:paraId="10FA3303">
      <w:pPr>
        <w:pageBreakBefore w:val="0"/>
        <w:kinsoku/>
        <w:overflowPunct/>
        <w:topLinePunct w:val="0"/>
        <w:bidi w:val="0"/>
        <w:snapToGrid/>
        <w:spacing w:before="0" w:beforeLines="0" w:after="0" w:afterLines="0" w:line="576" w:lineRule="exact"/>
        <w:jc w:val="center"/>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资格审查表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00"/>
        <w:gridCol w:w="7024"/>
      </w:tblGrid>
      <w:tr w14:paraId="405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l2br w:val="nil"/>
              <w:tr2bl w:val="nil"/>
            </w:tcBorders>
            <w:shd w:val="clear" w:color="auto" w:fill="FFFFFF"/>
            <w:noWrap w:val="0"/>
            <w:vAlign w:val="center"/>
          </w:tcPr>
          <w:p w14:paraId="63B7AA5F">
            <w:pPr>
              <w:pageBreakBefore w:val="0"/>
              <w:widowControl/>
              <w:kinsoku/>
              <w:overflowPunct/>
              <w:topLinePunct w:val="0"/>
              <w:bidi w:val="0"/>
              <w:snapToGrid/>
              <w:spacing w:beforeLines="0" w:afterLines="0" w:line="576"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lang w:bidi="ar"/>
              </w:rPr>
              <w:t>资格要求</w:t>
            </w:r>
          </w:p>
        </w:tc>
      </w:tr>
      <w:tr w14:paraId="2BB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0" w:hRule="atLeast"/>
          <w:jc w:val="center"/>
        </w:trPr>
        <w:tc>
          <w:tcPr>
            <w:tcW w:w="292" w:type="pct"/>
            <w:tcBorders>
              <w:tl2br w:val="nil"/>
              <w:tr2bl w:val="nil"/>
            </w:tcBorders>
            <w:shd w:val="clear" w:color="auto" w:fill="FFFFFF"/>
            <w:noWrap w:val="0"/>
            <w:vAlign w:val="center"/>
          </w:tcPr>
          <w:p w14:paraId="73B284A0">
            <w:pPr>
              <w:keepNext w:val="0"/>
              <w:keepLines w:val="0"/>
              <w:pageBreakBefore w:val="0"/>
              <w:kinsoku/>
              <w:wordWrap/>
              <w:overflowPunct/>
              <w:topLinePunct w:val="0"/>
              <w:autoSpaceDE/>
              <w:autoSpaceDN/>
              <w:bidi w:val="0"/>
              <w:adjustRightInd/>
              <w:snapToGrid/>
              <w:spacing w:beforeLines="0" w:afterLines="0" w:line="576" w:lineRule="exact"/>
              <w:jc w:val="center"/>
              <w:textAlignment w:val="auto"/>
              <w:rPr>
                <w:rFonts w:hint="default" w:ascii="Times New Roman" w:hAnsi="Times New Roman" w:eastAsia="方正仿宋_GBK" w:cs="Times New Roman"/>
                <w:color w:val="auto"/>
                <w:sz w:val="24"/>
                <w:szCs w:val="24"/>
                <w:lang w:bidi="ar"/>
              </w:rPr>
            </w:pPr>
            <w:r>
              <w:rPr>
                <w:rFonts w:hint="default" w:ascii="Times New Roman" w:hAnsi="Times New Roman" w:eastAsia="方正仿宋_GBK" w:cs="Times New Roman"/>
                <w:color w:val="auto"/>
                <w:sz w:val="24"/>
                <w:szCs w:val="24"/>
                <w:lang w:bidi="ar"/>
              </w:rPr>
              <w:t>1</w:t>
            </w:r>
          </w:p>
        </w:tc>
        <w:tc>
          <w:tcPr>
            <w:tcW w:w="587" w:type="pct"/>
            <w:tcBorders>
              <w:tl2br w:val="nil"/>
              <w:tr2bl w:val="nil"/>
            </w:tcBorders>
            <w:shd w:val="clear" w:color="auto" w:fill="FFFFFF"/>
            <w:noWrap w:val="0"/>
            <w:vAlign w:val="center"/>
          </w:tcPr>
          <w:p w14:paraId="35499688">
            <w:pPr>
              <w:keepNext w:val="0"/>
              <w:keepLines w:val="0"/>
              <w:pageBreakBefore w:val="0"/>
              <w:kinsoku/>
              <w:wordWrap/>
              <w:overflowPunct/>
              <w:topLinePunct w:val="0"/>
              <w:autoSpaceDE/>
              <w:autoSpaceDN/>
              <w:bidi w:val="0"/>
              <w:adjustRightInd/>
              <w:snapToGrid/>
              <w:spacing w:beforeLines="0" w:afterLines="0" w:line="576"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资格</w:t>
            </w:r>
          </w:p>
          <w:p w14:paraId="5EF24CB1">
            <w:pPr>
              <w:keepNext w:val="0"/>
              <w:keepLines w:val="0"/>
              <w:pageBreakBefore w:val="0"/>
              <w:kinsoku/>
              <w:wordWrap/>
              <w:overflowPunct/>
              <w:topLinePunct w:val="0"/>
              <w:autoSpaceDE/>
              <w:autoSpaceDN/>
              <w:bidi w:val="0"/>
              <w:adjustRightInd/>
              <w:snapToGrid/>
              <w:spacing w:beforeLines="0" w:afterLines="0" w:line="576"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审查</w:t>
            </w:r>
          </w:p>
        </w:tc>
        <w:tc>
          <w:tcPr>
            <w:tcW w:w="4119" w:type="pct"/>
            <w:tcBorders>
              <w:tl2br w:val="nil"/>
              <w:tr2bl w:val="nil"/>
            </w:tcBorders>
            <w:shd w:val="clear" w:color="auto" w:fill="FFFFFF"/>
            <w:noWrap w:val="0"/>
            <w:vAlign w:val="center"/>
          </w:tcPr>
          <w:p w14:paraId="160B953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Times New Roman" w:hAnsi="Times New Roman" w:eastAsia="方正仿宋_GBK" w:cs="Times New Roman"/>
                <w:b w:val="0"/>
                <w:bCs w:val="0"/>
                <w:i w:val="0"/>
                <w:iCs w:val="0"/>
                <w:color w:val="auto"/>
                <w:sz w:val="24"/>
                <w:szCs w:val="24"/>
                <w:lang w:val="en-US" w:eastAsia="zh-CN" w:bidi="ar"/>
              </w:rPr>
            </w:pPr>
            <w:r>
              <w:rPr>
                <w:rFonts w:hint="default" w:ascii="Times New Roman" w:hAnsi="Times New Roman" w:eastAsia="方正仿宋_GBK" w:cs="Times New Roman"/>
                <w:b/>
                <w:bCs/>
                <w:i w:val="0"/>
                <w:iCs w:val="0"/>
                <w:color w:val="auto"/>
                <w:sz w:val="24"/>
                <w:szCs w:val="24"/>
                <w:lang w:val="en-US" w:eastAsia="zh-CN" w:bidi="ar"/>
              </w:rPr>
              <w:t>1.具有独立承担民事责任的能力</w:t>
            </w:r>
            <w:r>
              <w:rPr>
                <w:rFonts w:hint="default" w:ascii="Times New Roman" w:hAnsi="Times New Roman" w:eastAsia="方正仿宋_GBK" w:cs="Times New Roman"/>
                <w:b w:val="0"/>
                <w:bCs w:val="0"/>
                <w:i w:val="0"/>
                <w:iCs w:val="0"/>
                <w:color w:val="auto"/>
                <w:sz w:val="24"/>
                <w:szCs w:val="24"/>
                <w:lang w:val="en-US" w:eastAsia="zh-CN" w:bidi="ar"/>
              </w:rPr>
              <w:t>（提供有效的三证合一的营业执照或提供法人或其他组织的营业执照等证明文件。复印件须加盖单位公章）；</w:t>
            </w:r>
          </w:p>
          <w:p w14:paraId="2A15340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Times New Roman" w:hAnsi="Times New Roman" w:eastAsia="方正仿宋_GBK" w:cs="Times New Roman"/>
                <w:b w:val="0"/>
                <w:bCs w:val="0"/>
                <w:i w:val="0"/>
                <w:iCs w:val="0"/>
                <w:color w:val="auto"/>
                <w:sz w:val="24"/>
                <w:szCs w:val="24"/>
                <w:lang w:val="en-US" w:eastAsia="zh-CN" w:bidi="ar"/>
              </w:rPr>
            </w:pPr>
            <w:r>
              <w:rPr>
                <w:rFonts w:hint="default" w:ascii="Times New Roman" w:hAnsi="Times New Roman" w:eastAsia="方正仿宋_GBK" w:cs="Times New Roman"/>
                <w:b/>
                <w:bCs/>
                <w:i w:val="0"/>
                <w:iCs w:val="0"/>
                <w:color w:val="auto"/>
                <w:sz w:val="24"/>
                <w:szCs w:val="24"/>
                <w:lang w:val="en-US" w:eastAsia="zh-CN" w:bidi="ar"/>
              </w:rPr>
              <w:t>2.具有良好的商业信誉和健全的会计制度</w:t>
            </w:r>
            <w:r>
              <w:rPr>
                <w:rFonts w:hint="default" w:ascii="Times New Roman" w:hAnsi="Times New Roman" w:eastAsia="方正仿宋_GBK" w:cs="Times New Roman"/>
                <w:b w:val="0"/>
                <w:bCs w:val="0"/>
                <w:i w:val="0"/>
                <w:iCs w:val="0"/>
                <w:color w:val="auto"/>
                <w:sz w:val="24"/>
                <w:szCs w:val="24"/>
                <w:lang w:val="en-US" w:eastAsia="zh-CN" w:bidi="ar"/>
              </w:rPr>
              <w:t>（提供近一年第三方出具的审计报告或财务报表；或提供承诺函。所有资料加盖单位公章）；</w:t>
            </w:r>
          </w:p>
          <w:p w14:paraId="05023CE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Times New Roman" w:hAnsi="Times New Roman" w:eastAsia="方正仿宋_GBK" w:cs="Times New Roman"/>
                <w:b w:val="0"/>
                <w:bCs w:val="0"/>
                <w:i w:val="0"/>
                <w:iCs w:val="0"/>
                <w:color w:val="auto"/>
                <w:sz w:val="24"/>
                <w:szCs w:val="24"/>
                <w:lang w:val="en-US" w:eastAsia="zh-CN" w:bidi="ar"/>
              </w:rPr>
            </w:pPr>
            <w:r>
              <w:rPr>
                <w:rFonts w:hint="default" w:ascii="Times New Roman" w:hAnsi="Times New Roman" w:eastAsia="方正仿宋_GBK" w:cs="Times New Roman"/>
                <w:b/>
                <w:bCs/>
                <w:i w:val="0"/>
                <w:iCs w:val="0"/>
                <w:color w:val="auto"/>
                <w:sz w:val="24"/>
                <w:szCs w:val="24"/>
                <w:lang w:val="en-US" w:eastAsia="zh-CN" w:bidi="ar"/>
              </w:rPr>
              <w:t>3.具有依法缴纳税收和社会保障资金的良好记录</w:t>
            </w:r>
            <w:r>
              <w:rPr>
                <w:rFonts w:hint="default" w:ascii="Times New Roman" w:hAnsi="Times New Roman" w:eastAsia="方正仿宋_GBK" w:cs="Times New Roman"/>
                <w:b w:val="0"/>
                <w:bCs w:val="0"/>
                <w:i w:val="0"/>
                <w:iCs w:val="0"/>
                <w:color w:val="auto"/>
                <w:sz w:val="24"/>
                <w:szCs w:val="24"/>
                <w:lang w:val="en-US" w:eastAsia="zh-CN" w:bidi="ar"/>
              </w:rPr>
              <w:t>（提供最近一次完税证明和社会保障资金凭证等相关资料，小微企业提供免税相关证明；或提供承诺函。所有资料加盖单位公章）；</w:t>
            </w:r>
          </w:p>
          <w:p w14:paraId="63E49682">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Times New Roman" w:hAnsi="Times New Roman" w:eastAsia="方正仿宋_GBK" w:cs="Times New Roman"/>
                <w:b w:val="0"/>
                <w:bCs w:val="0"/>
                <w:i w:val="0"/>
                <w:iCs w:val="0"/>
                <w:color w:val="auto"/>
                <w:sz w:val="24"/>
                <w:szCs w:val="24"/>
                <w:lang w:val="en-US" w:eastAsia="zh-CN" w:bidi="ar"/>
              </w:rPr>
            </w:pPr>
            <w:r>
              <w:rPr>
                <w:rFonts w:hint="default" w:ascii="Times New Roman" w:hAnsi="Times New Roman" w:eastAsia="方正仿宋_GBK" w:cs="Times New Roman"/>
                <w:b/>
                <w:bCs/>
                <w:i w:val="0"/>
                <w:iCs w:val="0"/>
                <w:color w:val="auto"/>
                <w:sz w:val="24"/>
                <w:szCs w:val="24"/>
                <w:lang w:val="en-US" w:eastAsia="zh-CN" w:bidi="ar"/>
              </w:rPr>
              <w:t>4.近三年（2023-2025）在经营活动中没有重大违法、违规记录</w:t>
            </w:r>
            <w:r>
              <w:rPr>
                <w:rFonts w:hint="default" w:ascii="Times New Roman" w:hAnsi="Times New Roman" w:eastAsia="方正仿宋_GBK" w:cs="Times New Roman"/>
                <w:b w:val="0"/>
                <w:bCs w:val="0"/>
                <w:i w:val="0"/>
                <w:iCs w:val="0"/>
                <w:color w:val="auto"/>
                <w:sz w:val="24"/>
                <w:szCs w:val="24"/>
                <w:lang w:val="en-US" w:eastAsia="zh-CN" w:bidi="ar"/>
              </w:rPr>
              <w:t>（提供承诺函）；</w:t>
            </w:r>
          </w:p>
          <w:p w14:paraId="278D6E44">
            <w:pPr>
              <w:keepNext w:val="0"/>
              <w:keepLines w:val="0"/>
              <w:pageBreakBefore w:val="0"/>
              <w:widowControl w:val="0"/>
              <w:numPr>
                <w:ilvl w:val="-1"/>
                <w:numId w:val="0"/>
              </w:numPr>
              <w:kinsoku/>
              <w:wordWrap/>
              <w:overflowPunct/>
              <w:topLinePunct w:val="0"/>
              <w:autoSpaceDE/>
              <w:autoSpaceDN/>
              <w:bidi w:val="0"/>
              <w:snapToGrid/>
              <w:spacing w:line="400" w:lineRule="exact"/>
              <w:ind w:firstLine="0" w:firstLineChars="0"/>
              <w:jc w:val="left"/>
              <w:textAlignment w:val="auto"/>
              <w:rPr>
                <w:rFonts w:hint="default" w:ascii="Times New Roman" w:hAnsi="Times New Roman" w:eastAsia="方正仿宋_GBK" w:cs="Times New Roman"/>
                <w:b w:val="0"/>
                <w:bCs w:val="0"/>
                <w:i w:val="0"/>
                <w:iCs w:val="0"/>
                <w:color w:val="auto"/>
                <w:sz w:val="24"/>
                <w:szCs w:val="24"/>
                <w:lang w:val="en-US" w:eastAsia="zh-CN" w:bidi="ar"/>
              </w:rPr>
            </w:pPr>
            <w:r>
              <w:rPr>
                <w:rFonts w:hint="default" w:ascii="Times New Roman" w:hAnsi="Times New Roman" w:eastAsia="方正仿宋_GBK" w:cs="Times New Roman"/>
                <w:b w:val="0"/>
                <w:bCs w:val="0"/>
                <w:i w:val="0"/>
                <w:iCs w:val="0"/>
                <w:color w:val="auto"/>
                <w:sz w:val="24"/>
                <w:szCs w:val="24"/>
                <w:lang w:val="en-US" w:eastAsia="zh-CN" w:bidi="ar"/>
              </w:rPr>
              <w:t>5.供应商为实体店的提供食品经营有效许可证书、从业人员健康证；供应商为电商平台的提供营业执照、食品经营有效许可证书、实体店营业执照和食品经营有效许可证书、实体店授权书、</w:t>
            </w:r>
            <w:r>
              <w:rPr>
                <w:rFonts w:hint="default" w:ascii="Times New Roman" w:hAnsi="Times New Roman" w:eastAsia="方正仿宋_GBK" w:cs="Times New Roman"/>
                <w:b w:val="0"/>
                <w:bCs w:val="0"/>
                <w:color w:val="auto"/>
                <w:kern w:val="2"/>
                <w:sz w:val="24"/>
                <w:szCs w:val="24"/>
                <w:lang w:val="en-US" w:eastAsia="zh-CN" w:bidi="ar"/>
              </w:rPr>
              <w:t>健康证（</w:t>
            </w:r>
            <w:r>
              <w:rPr>
                <w:rFonts w:hint="default" w:ascii="Times New Roman" w:hAnsi="Times New Roman" w:eastAsia="方正仿宋_GBK" w:cs="Times New Roman"/>
                <w:b w:val="0"/>
                <w:bCs w:val="0"/>
                <w:i w:val="0"/>
                <w:color w:val="auto"/>
                <w:kern w:val="2"/>
                <w:sz w:val="24"/>
                <w:szCs w:val="24"/>
                <w:lang w:bidi="ar"/>
              </w:rPr>
              <w:t>依法需持有健康证的，需提供相关材料</w:t>
            </w:r>
            <w:r>
              <w:rPr>
                <w:rFonts w:hint="default" w:ascii="Times New Roman" w:hAnsi="Times New Roman" w:eastAsia="方正仿宋_GBK" w:cs="Times New Roman"/>
                <w:b w:val="0"/>
                <w:bCs w:val="0"/>
                <w:color w:val="auto"/>
                <w:kern w:val="2"/>
                <w:sz w:val="24"/>
                <w:szCs w:val="24"/>
                <w:lang w:val="en-US" w:eastAsia="zh-CN" w:bidi="ar"/>
              </w:rPr>
              <w:t>），</w:t>
            </w:r>
            <w:r>
              <w:rPr>
                <w:rFonts w:hint="default" w:ascii="Times New Roman" w:hAnsi="Times New Roman" w:eastAsia="方正仿宋_GBK" w:cs="Times New Roman"/>
                <w:b w:val="0"/>
                <w:bCs w:val="0"/>
                <w:i w:val="0"/>
                <w:iCs w:val="0"/>
                <w:color w:val="auto"/>
                <w:sz w:val="24"/>
                <w:szCs w:val="24"/>
                <w:lang w:val="en-US" w:eastAsia="zh-CN" w:bidi="ar"/>
              </w:rPr>
              <w:t>并加盖公章；</w:t>
            </w:r>
          </w:p>
          <w:p w14:paraId="0DA63DF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Times New Roman" w:hAnsi="Times New Roman" w:eastAsia="方正仿宋_GBK" w:cs="Times New Roman"/>
                <w:b/>
                <w:bCs w:val="0"/>
                <w:i w:val="0"/>
                <w:iCs w:val="0"/>
                <w:color w:val="auto"/>
                <w:sz w:val="24"/>
                <w:szCs w:val="24"/>
                <w:lang w:val="en-US" w:eastAsia="zh-CN"/>
              </w:rPr>
            </w:pPr>
            <w:bookmarkStart w:id="0" w:name="_GoBack"/>
            <w:r>
              <w:rPr>
                <w:rFonts w:hint="default" w:ascii="Times New Roman" w:hAnsi="Times New Roman" w:eastAsia="方正仿宋_GBK" w:cs="Times New Roman"/>
                <w:b/>
                <w:bCs/>
                <w:i w:val="0"/>
                <w:iCs w:val="0"/>
                <w:color w:val="auto"/>
                <w:sz w:val="24"/>
                <w:szCs w:val="24"/>
                <w:lang w:val="en-US" w:eastAsia="zh-CN" w:bidi="ar"/>
              </w:rPr>
              <w:t>6.法律、法规规定的其他条件。</w:t>
            </w:r>
            <w:bookmarkEnd w:id="0"/>
            <w:r>
              <w:rPr>
                <w:rFonts w:hint="default" w:ascii="Times New Roman" w:hAnsi="Times New Roman" w:eastAsia="方正仿宋_GBK" w:cs="Times New Roman"/>
                <w:b w:val="0"/>
                <w:bCs w:val="0"/>
                <w:i w:val="0"/>
                <w:iCs w:val="0"/>
                <w:color w:val="auto"/>
                <w:sz w:val="24"/>
                <w:szCs w:val="24"/>
                <w:lang w:val="en-US" w:eastAsia="zh-CN" w:bidi="ar"/>
              </w:rPr>
              <w:t>未被“信用中国（www.creditchina.gov.cn）”网站列入“重大税收违法失信主体”和“中国政府采购网（www.ccgp.gov.cn）”列入“政府采购严重违法失信行为记录名单”及“中国执行信息公开网（http://zxgk.court.gov.cn/shixin/）”列入“失信被执行人”。须提供相关的查询截图并加盖单位公章，查询时间为公告发布之日至递交文件截止时间前的任意时间。</w:t>
            </w:r>
          </w:p>
        </w:tc>
      </w:tr>
      <w:tr w14:paraId="0652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000" w:type="pct"/>
            <w:gridSpan w:val="3"/>
            <w:tcBorders>
              <w:tl2br w:val="nil"/>
              <w:tr2bl w:val="nil"/>
            </w:tcBorders>
            <w:shd w:val="clear" w:color="auto" w:fill="FFFFFF"/>
            <w:noWrap w:val="0"/>
            <w:vAlign w:val="center"/>
          </w:tcPr>
          <w:p w14:paraId="662913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val="0"/>
                <w:bCs w:val="0"/>
                <w:color w:val="auto"/>
                <w:sz w:val="24"/>
                <w:szCs w:val="24"/>
                <w:lang w:val="en-US" w:eastAsia="zh-CN" w:bidi="ar"/>
              </w:rPr>
              <w:t>资格性</w:t>
            </w:r>
            <w:r>
              <w:rPr>
                <w:rFonts w:hint="default" w:ascii="Times New Roman" w:hAnsi="Times New Roman" w:eastAsia="方正仿宋_GBK" w:cs="Times New Roman"/>
                <w:b w:val="0"/>
                <w:bCs w:val="0"/>
                <w:color w:val="auto"/>
                <w:sz w:val="24"/>
                <w:szCs w:val="24"/>
                <w:lang w:bidi="ar"/>
              </w:rPr>
              <w:t>审查结论（通过或不通过）</w:t>
            </w:r>
            <w:r>
              <w:rPr>
                <w:rFonts w:hint="default" w:ascii="Times New Roman" w:hAnsi="Times New Roman" w:eastAsia="方正仿宋_GBK" w:cs="Times New Roman"/>
                <w:b w:val="0"/>
                <w:bCs w:val="0"/>
                <w:color w:val="auto"/>
                <w:sz w:val="24"/>
                <w:szCs w:val="24"/>
                <w:lang w:eastAsia="zh-CN" w:bidi="ar"/>
              </w:rPr>
              <w:t>（</w:t>
            </w:r>
            <w:r>
              <w:rPr>
                <w:rFonts w:hint="default" w:ascii="Times New Roman" w:hAnsi="Times New Roman" w:eastAsia="方正仿宋_GBK" w:cs="Times New Roman"/>
                <w:b/>
                <w:bCs/>
                <w:color w:val="auto"/>
                <w:sz w:val="24"/>
                <w:szCs w:val="24"/>
                <w:lang w:val="en-US" w:eastAsia="zh-CN" w:bidi="ar"/>
              </w:rPr>
              <w:t>注：任何一项不满足要求，审查不通过，不参与正式评审</w:t>
            </w:r>
            <w:r>
              <w:rPr>
                <w:rFonts w:hint="default" w:ascii="Times New Roman" w:hAnsi="Times New Roman" w:eastAsia="方正仿宋_GBK" w:cs="Times New Roman"/>
                <w:b w:val="0"/>
                <w:bCs w:val="0"/>
                <w:color w:val="auto"/>
                <w:sz w:val="24"/>
                <w:szCs w:val="24"/>
                <w:lang w:eastAsia="zh-CN" w:bidi="ar"/>
              </w:rPr>
              <w:t>）</w:t>
            </w:r>
          </w:p>
        </w:tc>
      </w:tr>
    </w:tbl>
    <w:p w14:paraId="4F73C28E"/>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swiss"/>
    <w:pitch w:val="default"/>
    <w:sig w:usb0="00000000"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9A1F6B38"/>
    <w:rsid w:val="FAFF4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Lucida Sans"/>
      <w:kern w:val="2"/>
      <w:sz w:val="21"/>
      <w:szCs w:val="21"/>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8"/>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libri Light" w:hAnsi="Calibri Light" w:eastAsia="宋体" w:cs="Times New Roman"/>
      <w:b/>
      <w:bCs/>
      <w:sz w:val="28"/>
      <w:szCs w:val="28"/>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next w:val="8"/>
    <w:qFormat/>
    <w:uiPriority w:val="0"/>
  </w:style>
  <w:style w:type="paragraph" w:styleId="8">
    <w:name w:val="Plain Text"/>
    <w:basedOn w:val="1"/>
    <w:next w:val="5"/>
    <w:qFormat/>
    <w:uiPriority w:val="99"/>
    <w:rPr>
      <w:rFonts w:ascii="宋体" w:hAnsi="Courier New" w:cs="Courier New"/>
      <w:szCs w:val="21"/>
    </w:rPr>
  </w:style>
  <w:style w:type="paragraph" w:styleId="9">
    <w:name w:val="Body Text Indent"/>
    <w:basedOn w:val="1"/>
    <w:qFormat/>
    <w:uiPriority w:val="0"/>
    <w:pPr>
      <w:ind w:left="360" w:firstLine="420" w:firstLineChars="150"/>
    </w:pPr>
    <w:rPr>
      <w:rFonts w:hint="eastAsia" w:ascii="仿宋_GB2312" w:eastAsia="仿宋_GB2312"/>
      <w:sz w:val="24"/>
      <w:szCs w:val="24"/>
    </w:rPr>
  </w:style>
  <w:style w:type="paragraph" w:styleId="10">
    <w:name w:val="table of figures"/>
    <w:basedOn w:val="1"/>
    <w:next w:val="1"/>
    <w:qFormat/>
    <w:uiPriority w:val="0"/>
    <w:pPr>
      <w:ind w:left="400" w:leftChars="200" w:hanging="200" w:hangingChars="200"/>
    </w:p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Times New Roman"/>
      <w:kern w:val="0"/>
      <w:sz w:val="28"/>
      <w:szCs w:val="28"/>
    </w:rPr>
  </w:style>
  <w:style w:type="paragraph" w:styleId="12">
    <w:name w:val="Body Text First Indent"/>
    <w:basedOn w:val="7"/>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1 Char"/>
    <w:basedOn w:val="15"/>
    <w:link w:val="2"/>
    <w:qFormat/>
    <w:uiPriority w:val="0"/>
    <w:rPr>
      <w:rFonts w:ascii="Times New Roman" w:hAnsi="Times New Roman" w:eastAsia="宋体"/>
      <w:b/>
      <w:bCs/>
      <w:kern w:val="44"/>
      <w:sz w:val="44"/>
      <w:szCs w:val="44"/>
      <w:lang w:val="en-US" w:eastAsia="zh-CN"/>
    </w:rPr>
  </w:style>
  <w:style w:type="character" w:customStyle="1" w:styleId="17">
    <w:name w:val="heading 2 Char"/>
    <w:basedOn w:val="15"/>
    <w:link w:val="3"/>
    <w:qFormat/>
    <w:uiPriority w:val="0"/>
    <w:rPr>
      <w:rFonts w:ascii="Times New Roman" w:hAnsi="Times New Roman" w:eastAsia="黑体"/>
      <w:b/>
      <w:bCs/>
      <w:kern w:val="2"/>
      <w:sz w:val="32"/>
      <w:szCs w:val="32"/>
      <w:lang w:val="en-US" w:eastAsia="zh-CN"/>
    </w:rPr>
  </w:style>
  <w:style w:type="character" w:customStyle="1" w:styleId="18">
    <w:name w:val="heading 3 Char"/>
    <w:basedOn w:val="15"/>
    <w:link w:val="4"/>
    <w:qFormat/>
    <w:uiPriority w:val="0"/>
    <w:rPr>
      <w:rFonts w:ascii="Times New Roman" w:hAnsi="Times New Roman" w:eastAsia="宋体"/>
      <w:b/>
      <w:bCs/>
      <w:kern w:val="2"/>
      <w:sz w:val="32"/>
      <w:szCs w:val="32"/>
      <w:lang w:val="en-US" w:eastAsia="zh-CN"/>
    </w:rPr>
  </w:style>
  <w:style w:type="paragraph" w:customStyle="1" w:styleId="19">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26645 1 1 1 1 1"/>
    <sectPr xmlns="http://www.yozosoft.com.cn/officeDocument/2016/customData"/>
  </customProps>
</customData>
</file>

<file path=customXml/itemProps1.xml><?xml version="1.0" encoding="utf-8"?>
<ds:datastoreItem xmlns:ds="http://schemas.openxmlformats.org/officeDocument/2006/customXml" ds:itemID="{DDFAC0A8-4FDF-48A6-8FF5-1A275706B27B}">
  <ds:schemaRefs/>
</ds:datastoreItem>
</file>

<file path=docProps/app.xml><?xml version="1.0" encoding="utf-8"?>
<Properties xmlns="http://schemas.openxmlformats.org/officeDocument/2006/extended-properties" xmlns:vt="http://schemas.openxmlformats.org/officeDocument/2006/docPropsVTypes">
  <Template>Normal.eit</Template>
  <Pages>1</Pages>
  <TotalTime>0</TotalTime>
  <ScaleCrop>false</ScaleCrop>
  <LinksUpToDate>false</LinksUpToDate>
  <Application>WPS Office_12.1.2.25882_F1E327BC-269C-435d-A152-05C5408002CA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2021-07-09T19:02:00Z</dcterms:created>
  <dc:creator>huawei</dc:creator>
  <cp:lastModifiedBy>huawei</cp:lastModifiedBy>
  <dcterms:modified xsi:type="dcterms:W3CDTF">2026-06-10T09:24:51Z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DBA3B31BB5AB3B1FB3851F6A14ED19E2_42</vt:lpwstr>
  </property>
</Properties>
</file>