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B2F3">
      <w:pPr>
        <w:pageBreakBefore w:val="0"/>
        <w:kinsoku/>
        <w:overflowPunct/>
        <w:topLinePunct w:val="0"/>
        <w:bidi w:val="0"/>
        <w:snapToGrid/>
        <w:spacing w:line="576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 w14:paraId="2408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资格审查表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944"/>
        <w:gridCol w:w="6627"/>
      </w:tblGrid>
      <w:tr w14:paraId="0C82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75B65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bidi="ar"/>
              </w:rPr>
              <w:t>资格要求</w:t>
            </w:r>
          </w:p>
        </w:tc>
      </w:tr>
      <w:tr w14:paraId="010E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0" w:hRule="atLeast"/>
          <w:jc w:val="center"/>
        </w:trPr>
        <w:tc>
          <w:tcPr>
            <w:tcW w:w="29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E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5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1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资格</w:t>
            </w:r>
          </w:p>
          <w:p w14:paraId="516BC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审查</w:t>
            </w:r>
          </w:p>
        </w:tc>
        <w:tc>
          <w:tcPr>
            <w:tcW w:w="41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F7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1.具有独立承担民事责任的能力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（提供有效的三证合一的营业执照或提供法人或其他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组织的营业执照等证明文件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复印件须加盖单位公章）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 w14:paraId="7A21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2.具有良好的商业信誉和健全的会计制度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（提供近一年第三方出具的审计报告或财务报表；或提供承诺函。所有资料加盖单位公章）；</w:t>
            </w:r>
          </w:p>
          <w:p w14:paraId="55EC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3.具有依法缴纳税收和社会保障资金的良好记录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（提供最近一次完税证明和社会保障资金凭证等相关资料，小微企业提供免税相关证明；或提供承诺函。所有资料加盖单位公章）；</w:t>
            </w:r>
          </w:p>
          <w:p w14:paraId="17F5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4.近三年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（2023-2025）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内在经营活动中没有重大违法、违规记录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（提供承诺函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并加盖单位公章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 w14:paraId="476D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5.提供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食品经营有效许可证书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并加盖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公章；</w:t>
            </w:r>
          </w:p>
          <w:p w14:paraId="4ABE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.法律、法规规定的其他条件。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未被“信用中国（www.creditchina.gov.cn）”网站列入“重大税收违法失信主体”和“中国政府采购网（www.ccgp.gov.cn）”列入“政府采购严重违法失信行为记录名单”及“中国执行信息公开网（http://zxgk.court.gov.cn/shixin/）”列入“失信被执行人”。须提供相关的查询截图并加盖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公章，查询时间为公告发布之日至递交文件截止时间前的任意时间。</w:t>
            </w:r>
          </w:p>
        </w:tc>
      </w:tr>
      <w:tr w14:paraId="71C0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资格性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审查结论（通过或不通过）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注：任何一项不满足要求，审查不通过，不参与正式评审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）</w:t>
            </w:r>
          </w:p>
        </w:tc>
      </w:tr>
    </w:tbl>
    <w:p w14:paraId="27949367">
      <w:pPr>
        <w:rPr>
          <w:rFonts w:hint="eastAsia"/>
          <w:lang w:eastAsia="zh-CN"/>
        </w:rPr>
      </w:pPr>
    </w:p>
    <w:sectPr>
      <w:pgSz w:w="11906" w:h="16839" w:orient="landscape"/>
      <w:pgMar w:top="1587" w:right="2097" w:bottom="1474" w:left="1984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bookFoldPrinting w:val="1"/>
  <w:bookFoldPrintingSheets w:val="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5CD4009"/>
    <w:rsid w:val="C7ED2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9">
    <w:name w:val="heading 1 Char"/>
    <w:basedOn w:val="8"/>
    <w:link w:val="3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10">
    <w:name w:val="heading 2 Char"/>
    <w:basedOn w:val="8"/>
    <w:link w:val="4"/>
    <w:qFormat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1">
    <w:name w:val="heading 3 Char"/>
    <w:basedOn w:val="8"/>
    <w:link w:val="5"/>
    <w:qFormat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DDFAC0A8-4FDF-48A6-8FF5-1A275706B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TotalTime>0</TotalTime>
  <ScaleCrop>false</ScaleCrop>
  <LinksUpToDate>false</LinksUpToDate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2021-07-09T11:02:00Z</dcterms:created>
  <dc:creator>huawei</dc:creator>
  <cp:lastModifiedBy>huawei</cp:lastModifiedBy>
  <dcterms:modified xsi:type="dcterms:W3CDTF">2026-06-03T09:06:17Z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3D2F1E3653F56D20FA7D1F6A45E949CD_42</vt:lpwstr>
  </property>
</Properties>
</file>